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0D" w:rsidRPr="00AB48CE" w:rsidRDefault="0057440D" w:rsidP="0057440D">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rPr>
        <w:t>V</w:t>
      </w:r>
      <w:r w:rsidRPr="00AB48CE">
        <w:rPr>
          <w:rFonts w:ascii="Cambria" w:eastAsia="ヒラギノ角ゴ Pro W3" w:hAnsi="Cambria" w:cs="Cambria"/>
          <w:b/>
          <w:bCs/>
          <w:color w:val="1F497D"/>
          <w:spacing w:val="20"/>
          <w:sz w:val="60"/>
          <w:szCs w:val="60"/>
        </w:rPr>
        <w:t>DAA</w:t>
      </w:r>
    </w:p>
    <w:p w:rsidR="0057440D" w:rsidRPr="009F01A9" w:rsidRDefault="0057440D" w:rsidP="0057440D">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57440D" w:rsidRPr="009D45AC" w:rsidRDefault="0057440D" w:rsidP="0057440D">
      <w:pPr>
        <w:tabs>
          <w:tab w:val="center" w:pos="4536"/>
          <w:tab w:val="right" w:pos="9072"/>
        </w:tabs>
        <w:jc w:val="center"/>
        <w:rPr>
          <w:rFonts w:ascii="Arial" w:eastAsia="ヒラギノ角ゴ Pro W3" w:hAnsi="Arial" w:cs="Arial"/>
          <w:b/>
          <w:bCs/>
          <w:color w:val="5A5A5A"/>
          <w:sz w:val="20"/>
          <w:szCs w:val="20"/>
        </w:rPr>
      </w:pPr>
      <w:r w:rsidRPr="009D45AC">
        <w:rPr>
          <w:rFonts w:ascii="Arial" w:hAnsi="Arial" w:cs="Arial"/>
          <w:b/>
          <w:bCs/>
          <w:sz w:val="20"/>
          <w:szCs w:val="20"/>
        </w:rPr>
        <w:t xml:space="preserve">Urteile, die </w:t>
      </w:r>
      <w:r w:rsidR="00A52F10">
        <w:rPr>
          <w:rFonts w:ascii="Arial" w:hAnsi="Arial" w:cs="Arial"/>
          <w:b/>
          <w:bCs/>
          <w:sz w:val="20"/>
          <w:szCs w:val="20"/>
        </w:rPr>
        <w:t xml:space="preserve">Ihre Leser </w:t>
      </w:r>
      <w:r w:rsidRPr="009D45AC">
        <w:rPr>
          <w:rFonts w:ascii="Arial" w:hAnsi="Arial" w:cs="Arial"/>
          <w:b/>
          <w:bCs/>
          <w:sz w:val="20"/>
          <w:szCs w:val="20"/>
        </w:rPr>
        <w:t>interessieren könnten</w:t>
      </w:r>
    </w:p>
    <w:p w:rsidR="0057440D" w:rsidRPr="009D45AC" w:rsidRDefault="0057440D" w:rsidP="0057440D">
      <w:pPr>
        <w:jc w:val="center"/>
        <w:rPr>
          <w:rFonts w:ascii="Arial" w:hAnsi="Arial" w:cs="Arial"/>
          <w:sz w:val="20"/>
          <w:szCs w:val="20"/>
        </w:rPr>
      </w:pPr>
    </w:p>
    <w:p w:rsidR="0057440D" w:rsidRPr="009D45AC" w:rsidRDefault="0057440D" w:rsidP="0057440D">
      <w:pPr>
        <w:jc w:val="center"/>
        <w:rPr>
          <w:rFonts w:ascii="Arial" w:hAnsi="Arial" w:cs="Arial"/>
          <w:sz w:val="20"/>
          <w:szCs w:val="20"/>
        </w:rPr>
      </w:pPr>
      <w:r w:rsidRPr="009D45AC">
        <w:rPr>
          <w:rFonts w:ascii="Arial" w:hAnsi="Arial" w:cs="Arial"/>
          <w:sz w:val="20"/>
          <w:szCs w:val="20"/>
        </w:rPr>
        <w:t>zusammengestellt von Rechtsanwalt/Fachanwalt für Arbeitsrecht u. Fachanwalt für Erbrecht</w:t>
      </w:r>
    </w:p>
    <w:p w:rsidR="0057440D" w:rsidRPr="009D45AC" w:rsidRDefault="0057440D" w:rsidP="0057440D">
      <w:pPr>
        <w:jc w:val="center"/>
        <w:rPr>
          <w:rFonts w:ascii="Arial" w:hAnsi="Arial" w:cs="Arial"/>
          <w:sz w:val="20"/>
          <w:szCs w:val="20"/>
        </w:rPr>
      </w:pPr>
      <w:r w:rsidRPr="009D45AC">
        <w:rPr>
          <w:rFonts w:ascii="Arial" w:hAnsi="Arial" w:cs="Arial"/>
          <w:sz w:val="20"/>
          <w:szCs w:val="20"/>
        </w:rPr>
        <w:t>Michael Henn, Stuttgart</w:t>
      </w:r>
    </w:p>
    <w:p w:rsidR="0057440D" w:rsidRPr="00604964" w:rsidRDefault="0057440D" w:rsidP="00604964">
      <w:pPr>
        <w:ind w:right="540"/>
        <w:jc w:val="both"/>
        <w:rPr>
          <w:rFonts w:ascii="Arial" w:hAnsi="Arial" w:cs="Arial"/>
          <w:b/>
          <w:bCs/>
          <w:color w:val="002060"/>
          <w:sz w:val="20"/>
          <w:szCs w:val="20"/>
          <w:lang w:eastAsia="de-DE"/>
        </w:rPr>
      </w:pPr>
    </w:p>
    <w:p w:rsidR="0057440D" w:rsidRPr="00604964" w:rsidRDefault="0057440D" w:rsidP="00604964">
      <w:pPr>
        <w:ind w:right="540"/>
        <w:jc w:val="center"/>
        <w:rPr>
          <w:rFonts w:ascii="Arial" w:hAnsi="Arial" w:cs="Arial"/>
          <w:b/>
          <w:bCs/>
          <w:sz w:val="20"/>
          <w:szCs w:val="20"/>
          <w:lang w:eastAsia="de-DE"/>
        </w:rPr>
      </w:pPr>
      <w:r w:rsidRPr="00604964">
        <w:rPr>
          <w:rFonts w:ascii="Arial" w:hAnsi="Arial" w:cs="Arial"/>
          <w:b/>
          <w:bCs/>
          <w:sz w:val="20"/>
          <w:szCs w:val="20"/>
          <w:lang w:eastAsia="de-DE"/>
        </w:rPr>
        <w:t>I.</w:t>
      </w:r>
    </w:p>
    <w:p w:rsidR="0057440D" w:rsidRPr="00604964" w:rsidRDefault="0057440D" w:rsidP="00604964">
      <w:pPr>
        <w:ind w:right="480"/>
        <w:jc w:val="center"/>
        <w:rPr>
          <w:rFonts w:ascii="Arial" w:hAnsi="Arial" w:cs="Arial"/>
          <w:b/>
          <w:bCs/>
          <w:sz w:val="20"/>
          <w:szCs w:val="20"/>
          <w:lang w:eastAsia="de-DE"/>
        </w:rPr>
      </w:pPr>
      <w:r w:rsidRPr="00604964">
        <w:rPr>
          <w:rFonts w:ascii="Arial" w:hAnsi="Arial" w:cs="Arial"/>
          <w:b/>
          <w:bCs/>
          <w:sz w:val="20"/>
          <w:szCs w:val="20"/>
          <w:lang w:eastAsia="de-DE"/>
        </w:rPr>
        <w:t>Übergangszuschuss - Leistung der betrieblichen Altersversorgung</w:t>
      </w:r>
    </w:p>
    <w:p w:rsidR="00080D74" w:rsidRPr="00604964" w:rsidRDefault="0057440D" w:rsidP="00604964">
      <w:pPr>
        <w:ind w:right="540"/>
        <w:jc w:val="center"/>
        <w:rPr>
          <w:rFonts w:ascii="Arial" w:hAnsi="Arial" w:cs="Arial"/>
          <w:bCs/>
          <w:sz w:val="20"/>
          <w:szCs w:val="20"/>
        </w:rPr>
      </w:pPr>
      <w:r w:rsidRPr="00604964">
        <w:rPr>
          <w:rFonts w:ascii="Arial" w:hAnsi="Arial" w:cs="Arial"/>
          <w:bCs/>
          <w:sz w:val="20"/>
          <w:szCs w:val="20"/>
          <w:lang w:eastAsia="de-DE"/>
        </w:rPr>
        <w:t xml:space="preserve">BGH, </w:t>
      </w:r>
      <w:r w:rsidR="00080D74" w:rsidRPr="00604964">
        <w:rPr>
          <w:rFonts w:ascii="Arial" w:hAnsi="Arial" w:cs="Arial"/>
          <w:bCs/>
          <w:sz w:val="20"/>
          <w:szCs w:val="20"/>
        </w:rPr>
        <w:t>Urteil vom 20. März 2018</w:t>
      </w:r>
      <w:r w:rsidRPr="00604964">
        <w:rPr>
          <w:rFonts w:ascii="Arial" w:hAnsi="Arial" w:cs="Arial"/>
          <w:bCs/>
          <w:sz w:val="20"/>
          <w:szCs w:val="20"/>
        </w:rPr>
        <w:t>, Az.</w:t>
      </w:r>
      <w:r w:rsidR="00080D74" w:rsidRPr="00604964">
        <w:rPr>
          <w:rFonts w:ascii="Arial" w:hAnsi="Arial" w:cs="Arial"/>
          <w:bCs/>
          <w:sz w:val="20"/>
          <w:szCs w:val="20"/>
        </w:rPr>
        <w:t xml:space="preserve"> 3 AZR 277/16</w:t>
      </w:r>
    </w:p>
    <w:p w:rsidR="00080D74" w:rsidRPr="00604964" w:rsidRDefault="00080D74" w:rsidP="00604964">
      <w:pPr>
        <w:ind w:right="480"/>
        <w:jc w:val="both"/>
        <w:rPr>
          <w:rFonts w:ascii="Arial" w:hAnsi="Arial" w:cs="Arial"/>
          <w:b/>
          <w:bCs/>
          <w:sz w:val="20"/>
          <w:szCs w:val="20"/>
          <w:lang w:eastAsia="de-DE"/>
        </w:rPr>
      </w:pPr>
    </w:p>
    <w:p w:rsidR="0057440D" w:rsidRPr="00604964" w:rsidRDefault="00080D74" w:rsidP="00604964">
      <w:pPr>
        <w:ind w:right="480"/>
        <w:jc w:val="both"/>
        <w:rPr>
          <w:rFonts w:ascii="Arial" w:hAnsi="Arial" w:cs="Arial"/>
          <w:sz w:val="20"/>
          <w:szCs w:val="20"/>
          <w:lang w:eastAsia="de-DE"/>
        </w:rPr>
      </w:pPr>
      <w:r w:rsidRPr="00604964">
        <w:rPr>
          <w:rFonts w:ascii="Arial" w:hAnsi="Arial" w:cs="Arial"/>
          <w:sz w:val="20"/>
          <w:szCs w:val="20"/>
          <w:lang w:eastAsia="de-DE"/>
        </w:rPr>
        <w:t>Erhält ein ehemaliger Arbeitnehmer während der ersten sechs Monate des Renten-bezugs sein monatliches Entgelt unter Anrechnung der Betriebsrente als „Übergangszuschuss“ weiter, handelt es sich um eine Leistung der betrieblichen Altersversorgung, die der Insolvenzsicherung durch den Pensions-Sicherungs-Verein (PSV) unterliegt.</w:t>
      </w:r>
    </w:p>
    <w:p w:rsidR="0057440D" w:rsidRPr="00604964" w:rsidRDefault="00080D74" w:rsidP="00604964">
      <w:pPr>
        <w:ind w:right="480"/>
        <w:jc w:val="both"/>
        <w:rPr>
          <w:rFonts w:ascii="Arial" w:hAnsi="Arial" w:cs="Arial"/>
          <w:sz w:val="20"/>
          <w:szCs w:val="20"/>
          <w:lang w:eastAsia="de-DE"/>
        </w:rPr>
      </w:pPr>
      <w:r w:rsidRPr="00604964">
        <w:rPr>
          <w:rFonts w:ascii="Arial" w:hAnsi="Arial" w:cs="Arial"/>
          <w:sz w:val="20"/>
          <w:szCs w:val="20"/>
          <w:lang w:eastAsia="de-DE"/>
        </w:rPr>
        <w:t>Bei der früheren, inzwischen insolventen Arbeitgeberin des Klägers galt eine Betriebsvereinbarung über die Gewährung eines Übergangszuschusses. Dieser sollte während der ersten sechs Monate des Rentenbezugs gezahlt werden, wenn der Versorgungsberechtigte im unmittelbaren Anschluss an die aktive Dienstzeit bei der Arbeitgeberin pensioniert wird. Seit Januar 2015 bezieht der Kläger neben der gesetzlichen Rente eine Betriebsrente vom PSV. Dieser ist der Auffassung, er müsse nicht für den Übergangszuschuss eintreten, weil es sich nicht um eine Leistung der betrieblichen Altersversorgung handele. Es fehle am erforderlichen Versorgungszweck.</w:t>
      </w:r>
    </w:p>
    <w:p w:rsidR="00080D74" w:rsidRPr="00604964" w:rsidRDefault="00080D74" w:rsidP="00604964">
      <w:pPr>
        <w:ind w:right="480"/>
        <w:jc w:val="both"/>
        <w:rPr>
          <w:rFonts w:ascii="Arial" w:hAnsi="Arial" w:cs="Arial"/>
          <w:sz w:val="20"/>
          <w:szCs w:val="20"/>
          <w:lang w:eastAsia="de-DE"/>
        </w:rPr>
      </w:pPr>
      <w:r w:rsidRPr="00604964">
        <w:rPr>
          <w:rFonts w:ascii="Arial" w:hAnsi="Arial" w:cs="Arial"/>
          <w:sz w:val="20"/>
          <w:szCs w:val="20"/>
          <w:lang w:eastAsia="de-DE"/>
        </w:rPr>
        <w:t>Der Dritte Senat des Bundesarbeitsgerichts hat - ebenso wie das Landesarbeitsgericht - der Klage überwiegend stattgegeben. Der Übergangszuschuss knüpft an ein vom Betriebsrentengesetz erfasstes Risiko an. Er dient nicht der Überbrückung von Zeiträumen bis zum Eintritt des Versorgungsfalls. Vielmehr bezweckt er, den Lebensstandard des Arbeitnehmers mit Eintritt in den Ruhestand zu verbessern. Damit hat der Übergangszuschuss - auch wenn er lediglich vorübergehend gewährt wird - Versorgungscharakter.</w:t>
      </w:r>
    </w:p>
    <w:p w:rsidR="00080D74" w:rsidRPr="00604964" w:rsidRDefault="00080D74" w:rsidP="00604964">
      <w:pPr>
        <w:ind w:right="480"/>
        <w:jc w:val="both"/>
        <w:rPr>
          <w:rFonts w:ascii="Arial" w:hAnsi="Arial" w:cs="Arial"/>
          <w:b/>
          <w:bCs/>
          <w:i/>
          <w:iCs/>
          <w:color w:val="002060"/>
          <w:sz w:val="20"/>
          <w:szCs w:val="20"/>
          <w:lang w:eastAsia="de-DE"/>
        </w:rPr>
      </w:pPr>
    </w:p>
    <w:p w:rsidR="00080D74" w:rsidRPr="00604964" w:rsidRDefault="00080D74" w:rsidP="00604964">
      <w:pPr>
        <w:ind w:right="480"/>
        <w:jc w:val="both"/>
        <w:rPr>
          <w:rFonts w:ascii="Arial" w:hAnsi="Arial" w:cs="Arial"/>
          <w:b/>
          <w:bCs/>
          <w:i/>
          <w:iCs/>
          <w:color w:val="002060"/>
          <w:sz w:val="16"/>
          <w:szCs w:val="16"/>
          <w:lang w:eastAsia="de-DE"/>
        </w:rPr>
      </w:pPr>
      <w:r w:rsidRPr="00604964">
        <w:rPr>
          <w:rFonts w:ascii="Arial" w:hAnsi="Arial" w:cs="Arial"/>
          <w:b/>
          <w:bCs/>
          <w:color w:val="002060"/>
          <w:sz w:val="16"/>
          <w:szCs w:val="16"/>
          <w:u w:val="single"/>
          <w:lang w:eastAsia="de-DE"/>
        </w:rPr>
        <w:t xml:space="preserve">Siehe: </w:t>
      </w:r>
    </w:p>
    <w:p w:rsidR="00080D74" w:rsidRPr="00604964" w:rsidRDefault="00080D74" w:rsidP="00604964">
      <w:pPr>
        <w:rPr>
          <w:rFonts w:ascii="Arial" w:hAnsi="Arial" w:cs="Arial"/>
          <w:sz w:val="16"/>
          <w:szCs w:val="16"/>
          <w:lang w:eastAsia="de-DE"/>
        </w:rPr>
      </w:pPr>
      <w:hyperlink r:id="rId7" w:history="1">
        <w:r w:rsidRPr="00604964">
          <w:rPr>
            <w:rStyle w:val="Hyperlink"/>
            <w:rFonts w:ascii="Arial" w:hAnsi="Arial" w:cs="Arial"/>
            <w:sz w:val="16"/>
            <w:szCs w:val="16"/>
            <w:lang w:eastAsia="de-DE"/>
          </w:rPr>
          <w:t>http://juris.bundesarbeitsgericht.de/cgi-bin/rechtsprechung/document.py?Gericht=bag&amp;Art=pm&amp;Datum=2018&amp;nr=19899&amp;pos=0&amp;anz=13&amp;titel=%DCbergangszuschuss_-_Leistung_der_betrieblichen_Altersversorgung</w:t>
        </w:r>
      </w:hyperlink>
    </w:p>
    <w:p w:rsidR="00080D74" w:rsidRPr="00604964" w:rsidRDefault="00080D74" w:rsidP="00604964">
      <w:pPr>
        <w:rPr>
          <w:rFonts w:ascii="Arial" w:hAnsi="Arial" w:cs="Arial"/>
          <w:sz w:val="20"/>
          <w:szCs w:val="20"/>
          <w:lang w:eastAsia="de-DE"/>
        </w:rPr>
      </w:pPr>
    </w:p>
    <w:p w:rsidR="00080D74" w:rsidRPr="00604964" w:rsidRDefault="00080D74" w:rsidP="00604964">
      <w:pPr>
        <w:ind w:right="540"/>
        <w:jc w:val="both"/>
        <w:rPr>
          <w:rFonts w:ascii="Arial" w:hAnsi="Arial" w:cs="Arial"/>
          <w:b/>
          <w:bCs/>
          <w:color w:val="002060"/>
          <w:sz w:val="24"/>
          <w:szCs w:val="24"/>
          <w:lang w:eastAsia="de-DE"/>
        </w:rPr>
      </w:pPr>
    </w:p>
    <w:p w:rsidR="00080D74" w:rsidRPr="00604964" w:rsidRDefault="0057440D" w:rsidP="00604964">
      <w:pPr>
        <w:ind w:right="540"/>
        <w:jc w:val="center"/>
        <w:rPr>
          <w:rFonts w:ascii="Arial" w:hAnsi="Arial" w:cs="Arial"/>
          <w:b/>
          <w:sz w:val="20"/>
          <w:szCs w:val="20"/>
          <w:lang w:eastAsia="de-DE"/>
        </w:rPr>
      </w:pPr>
      <w:r w:rsidRPr="00604964">
        <w:rPr>
          <w:rFonts w:ascii="Arial" w:hAnsi="Arial" w:cs="Arial"/>
          <w:b/>
          <w:sz w:val="20"/>
          <w:szCs w:val="20"/>
          <w:lang w:eastAsia="de-DE"/>
        </w:rPr>
        <w:t>II.</w:t>
      </w:r>
    </w:p>
    <w:p w:rsidR="0057440D" w:rsidRPr="00604964" w:rsidRDefault="0057440D" w:rsidP="00604964">
      <w:pPr>
        <w:ind w:right="480"/>
        <w:jc w:val="center"/>
        <w:rPr>
          <w:rFonts w:ascii="Arial" w:hAnsi="Arial" w:cs="Arial"/>
          <w:b/>
          <w:bCs/>
          <w:sz w:val="20"/>
          <w:szCs w:val="20"/>
          <w:lang w:eastAsia="de-DE"/>
        </w:rPr>
      </w:pPr>
      <w:r w:rsidRPr="00604964">
        <w:rPr>
          <w:rFonts w:ascii="Arial" w:hAnsi="Arial" w:cs="Arial"/>
          <w:b/>
          <w:bCs/>
          <w:sz w:val="20"/>
          <w:szCs w:val="20"/>
          <w:lang w:eastAsia="de-DE"/>
        </w:rPr>
        <w:t>Vollstreckungsabwehrklage - Beschäftigungstitel – Unmöglichkeit</w:t>
      </w:r>
    </w:p>
    <w:p w:rsidR="00080D74" w:rsidRPr="00604964" w:rsidRDefault="00080D74" w:rsidP="00604964">
      <w:pPr>
        <w:ind w:right="540"/>
        <w:jc w:val="center"/>
        <w:rPr>
          <w:rFonts w:ascii="Arial" w:hAnsi="Arial" w:cs="Arial"/>
          <w:bCs/>
          <w:sz w:val="20"/>
          <w:szCs w:val="20"/>
        </w:rPr>
      </w:pPr>
      <w:r w:rsidRPr="00604964">
        <w:rPr>
          <w:rFonts w:ascii="Arial" w:hAnsi="Arial" w:cs="Arial"/>
          <w:bCs/>
          <w:sz w:val="20"/>
          <w:szCs w:val="20"/>
          <w:lang w:eastAsia="de-DE"/>
        </w:rPr>
        <w:t>B</w:t>
      </w:r>
      <w:r w:rsidR="0057440D" w:rsidRPr="00604964">
        <w:rPr>
          <w:rFonts w:ascii="Arial" w:hAnsi="Arial" w:cs="Arial"/>
          <w:bCs/>
          <w:sz w:val="20"/>
          <w:szCs w:val="20"/>
          <w:lang w:eastAsia="de-DE"/>
        </w:rPr>
        <w:t xml:space="preserve">AG, </w:t>
      </w:r>
      <w:r w:rsidRPr="00604964">
        <w:rPr>
          <w:rFonts w:ascii="Arial" w:hAnsi="Arial" w:cs="Arial"/>
          <w:bCs/>
          <w:sz w:val="20"/>
          <w:szCs w:val="20"/>
        </w:rPr>
        <w:t>Urteil vom 21. März 2018</w:t>
      </w:r>
      <w:r w:rsidR="0057440D" w:rsidRPr="00604964">
        <w:rPr>
          <w:rFonts w:ascii="Arial" w:hAnsi="Arial" w:cs="Arial"/>
          <w:bCs/>
          <w:sz w:val="20"/>
          <w:szCs w:val="20"/>
        </w:rPr>
        <w:t>, Az.</w:t>
      </w:r>
      <w:r w:rsidRPr="00604964">
        <w:rPr>
          <w:rFonts w:ascii="Arial" w:hAnsi="Arial" w:cs="Arial"/>
          <w:bCs/>
          <w:sz w:val="20"/>
          <w:szCs w:val="20"/>
        </w:rPr>
        <w:t xml:space="preserve"> 10 AZR 560/16</w:t>
      </w:r>
    </w:p>
    <w:p w:rsidR="00080D74" w:rsidRPr="00604964" w:rsidRDefault="00080D74" w:rsidP="00604964">
      <w:pPr>
        <w:ind w:right="480"/>
        <w:jc w:val="both"/>
        <w:rPr>
          <w:rFonts w:ascii="Arial" w:hAnsi="Arial" w:cs="Arial"/>
          <w:b/>
          <w:bCs/>
          <w:sz w:val="20"/>
          <w:szCs w:val="20"/>
          <w:lang w:eastAsia="de-DE"/>
        </w:rPr>
      </w:pPr>
    </w:p>
    <w:p w:rsidR="0057440D" w:rsidRPr="00604964" w:rsidRDefault="00080D74" w:rsidP="00604964">
      <w:pPr>
        <w:ind w:right="480"/>
        <w:jc w:val="both"/>
        <w:rPr>
          <w:rFonts w:ascii="Arial" w:hAnsi="Arial" w:cs="Arial"/>
          <w:sz w:val="20"/>
          <w:szCs w:val="20"/>
          <w:lang w:eastAsia="de-DE"/>
        </w:rPr>
      </w:pPr>
      <w:r w:rsidRPr="00604964">
        <w:rPr>
          <w:rFonts w:ascii="Arial" w:hAnsi="Arial" w:cs="Arial"/>
          <w:sz w:val="20"/>
          <w:szCs w:val="20"/>
          <w:lang w:eastAsia="de-DE"/>
        </w:rPr>
        <w:t>Ein Arbeitgeber kann im Rahmen einer Vollstreckungsabwehrklage nach § 767 ZPO nicht erfolgreich einwenden, ihm sei die Erfüllung eines rechtskräftig zuerkannten Beschäftigungsanspruchs auf einem konkreten Arbeitsplatz wegen dessen Wegfalls unmöglich, wenn er den arbeitsvertraglichen Beschäftigungsanspruch durch Zuweisung einer anderen vertragsgemäßen Tätigkeit erfüllen könnte.</w:t>
      </w:r>
    </w:p>
    <w:p w:rsidR="0057440D" w:rsidRPr="00604964" w:rsidRDefault="00080D74" w:rsidP="00604964">
      <w:pPr>
        <w:ind w:right="480"/>
        <w:jc w:val="both"/>
        <w:rPr>
          <w:rFonts w:ascii="Arial" w:hAnsi="Arial" w:cs="Arial"/>
          <w:sz w:val="20"/>
          <w:szCs w:val="20"/>
          <w:lang w:eastAsia="de-DE"/>
        </w:rPr>
      </w:pPr>
      <w:r w:rsidRPr="00604964">
        <w:rPr>
          <w:rFonts w:ascii="Arial" w:hAnsi="Arial" w:cs="Arial"/>
          <w:sz w:val="20"/>
          <w:szCs w:val="20"/>
          <w:lang w:eastAsia="de-DE"/>
        </w:rPr>
        <w:t xml:space="preserve">Die Parteien streiten über die Zulässigkeit der Zwangsvollstreckung aus dem rechtskräftigen Urteil eines Arbeitsgerichts aus dem Jahr 2010. Danach hat die Klägerin den Beklagten „zu unveränderten Arbeitsbedingungen als Direktor Delivery Communication &amp; Media Solutions Deutschland und General Western Europe auf der Managerebene 3 zu beschäftigen“. Die Klägerin wendet ein, ihr sei die titulierte Beschäftigung des Beklagten unmöglich, weil der Arbeitsplatz aufgrund konzernübergreifender Veränderungen der Organisationsstruktur weggefallen sei. Eine andere Tätigkeit hat sie dem Beklagten nicht zugewiesen. Das Arbeitsgericht hat die Klage abgewiesen, das Landesarbeitsgericht hat ihr stattgegeben. </w:t>
      </w:r>
    </w:p>
    <w:p w:rsidR="00080D74" w:rsidRPr="00604964" w:rsidRDefault="00080D74" w:rsidP="00604964">
      <w:pPr>
        <w:ind w:right="480"/>
        <w:jc w:val="both"/>
        <w:rPr>
          <w:rFonts w:ascii="Arial" w:hAnsi="Arial" w:cs="Arial"/>
          <w:sz w:val="20"/>
          <w:szCs w:val="20"/>
          <w:lang w:eastAsia="de-DE"/>
        </w:rPr>
      </w:pPr>
      <w:r w:rsidRPr="00604964">
        <w:rPr>
          <w:rFonts w:ascii="Arial" w:hAnsi="Arial" w:cs="Arial"/>
          <w:sz w:val="20"/>
          <w:szCs w:val="20"/>
          <w:lang w:eastAsia="de-DE"/>
        </w:rPr>
        <w:t xml:space="preserve">Die Revision des Beklagten hatte vor dem Zehnten Senat des Bundesarbeitsgerichts Erfolg. Selbst wenn die Beschäftigung des Beklagten infolge des Wegfalls des Arbeitsplatzes iSv. § 275 Abs. 1 BGB unmöglich ist, kann die Klägerin mit dieser Einwendung im Verfahren nach § 767 ZPO jedenfalls wegen des aus § 242 BGB abzuleitenden, von Amts wegen zu berücksichtigenden sog. </w:t>
      </w:r>
      <w:r w:rsidRPr="00604964">
        <w:rPr>
          <w:rFonts w:ascii="Arial" w:hAnsi="Arial" w:cs="Arial"/>
          <w:sz w:val="20"/>
          <w:szCs w:val="20"/>
          <w:lang w:eastAsia="de-DE"/>
        </w:rPr>
        <w:lastRenderedPageBreak/>
        <w:t>Dolo-agit-Einwands* nicht durchdringen. Durch die Nichtbeschäftigung des Beklagten verstößt die Klägerin gegen die Beschäftigungspflicht (§ 611 Abs. 1 BGB). Fehlendes Verschulden hat sie nicht dargelegt (§ 280 Abs. 1 Satz 2 BGB). Sie muss dem Beklagten deshalb nach § 280 Abs. 1 Satz 1 iVm. § 249 Abs. 1 BGB eine andere vertragsgemäße Beschäftigung zuweisen. Dass ihr dies nicht möglich oder zuzumuten sei, hat die Klägerin nicht behauptet.</w:t>
      </w:r>
    </w:p>
    <w:p w:rsidR="00080D74" w:rsidRPr="00604964" w:rsidRDefault="00080D74" w:rsidP="00604964">
      <w:pPr>
        <w:ind w:right="480"/>
        <w:jc w:val="both"/>
        <w:rPr>
          <w:rFonts w:ascii="Arial" w:hAnsi="Arial" w:cs="Arial"/>
          <w:sz w:val="20"/>
          <w:szCs w:val="20"/>
          <w:lang w:eastAsia="de-DE"/>
        </w:rPr>
      </w:pPr>
      <w:r w:rsidRPr="00604964">
        <w:rPr>
          <w:rFonts w:ascii="Arial" w:hAnsi="Arial" w:cs="Arial"/>
          <w:sz w:val="20"/>
          <w:szCs w:val="20"/>
          <w:lang w:eastAsia="de-DE"/>
        </w:rPr>
        <w:t>Danach verstößt gegen Treu und Glauben, wer eine Leistung verlangt, die er sofort zurückgewähren muss („dolo agit, qui petit, quod statim redditurus est“).</w:t>
      </w:r>
    </w:p>
    <w:p w:rsidR="00080D74" w:rsidRPr="00604964" w:rsidRDefault="00080D74" w:rsidP="00604964">
      <w:pPr>
        <w:ind w:right="480"/>
        <w:jc w:val="both"/>
        <w:rPr>
          <w:rFonts w:ascii="Arial" w:hAnsi="Arial" w:cs="Arial"/>
          <w:b/>
          <w:bCs/>
          <w:i/>
          <w:iCs/>
          <w:sz w:val="20"/>
          <w:szCs w:val="20"/>
          <w:lang w:eastAsia="de-DE"/>
        </w:rPr>
      </w:pPr>
    </w:p>
    <w:p w:rsidR="00080D74" w:rsidRPr="00604964" w:rsidRDefault="00080D74" w:rsidP="00604964">
      <w:pPr>
        <w:ind w:right="480"/>
        <w:jc w:val="both"/>
        <w:rPr>
          <w:rFonts w:ascii="Arial" w:hAnsi="Arial" w:cs="Arial"/>
          <w:b/>
          <w:bCs/>
          <w:i/>
          <w:iCs/>
          <w:color w:val="002060"/>
          <w:sz w:val="16"/>
          <w:szCs w:val="16"/>
          <w:lang w:eastAsia="de-DE"/>
        </w:rPr>
      </w:pPr>
      <w:r w:rsidRPr="00604964">
        <w:rPr>
          <w:rFonts w:ascii="Arial" w:hAnsi="Arial" w:cs="Arial"/>
          <w:b/>
          <w:bCs/>
          <w:color w:val="002060"/>
          <w:sz w:val="16"/>
          <w:szCs w:val="16"/>
          <w:u w:val="single"/>
          <w:lang w:eastAsia="de-DE"/>
        </w:rPr>
        <w:t xml:space="preserve">Siehe: </w:t>
      </w:r>
    </w:p>
    <w:p w:rsidR="00080D74" w:rsidRPr="00604964" w:rsidRDefault="00080D74" w:rsidP="00604964">
      <w:pPr>
        <w:rPr>
          <w:rFonts w:ascii="Arial" w:hAnsi="Arial" w:cs="Arial"/>
          <w:sz w:val="16"/>
          <w:szCs w:val="16"/>
          <w:lang w:eastAsia="de-DE"/>
        </w:rPr>
      </w:pPr>
      <w:hyperlink r:id="rId8" w:history="1">
        <w:r w:rsidRPr="00604964">
          <w:rPr>
            <w:rStyle w:val="Hyperlink"/>
            <w:rFonts w:ascii="Arial" w:hAnsi="Arial" w:cs="Arial"/>
            <w:sz w:val="16"/>
            <w:szCs w:val="16"/>
            <w:lang w:eastAsia="de-DE"/>
          </w:rPr>
          <w:t>http://juris.bundesarbeitsgericht.de/cgi-bin/rechtsprechung/document.py?Gericht=bag&amp;Art=pm&amp;Datum=2018&amp;nr=19944&amp;pos=0&amp;anz=17&amp;titel=Vollstreckungsabwehrklage_-_Besch%E4ftigungstitel_-_Unm%F6glichkeit</w:t>
        </w:r>
      </w:hyperlink>
    </w:p>
    <w:p w:rsidR="00080D74" w:rsidRPr="00604964" w:rsidRDefault="00080D74" w:rsidP="00604964">
      <w:pPr>
        <w:rPr>
          <w:rFonts w:ascii="Arial" w:hAnsi="Arial" w:cs="Arial"/>
          <w:sz w:val="20"/>
          <w:szCs w:val="20"/>
          <w:lang w:eastAsia="de-DE"/>
        </w:rPr>
      </w:pPr>
    </w:p>
    <w:p w:rsidR="00080D74" w:rsidRPr="00604964" w:rsidRDefault="0057440D" w:rsidP="00604964">
      <w:pPr>
        <w:ind w:right="540"/>
        <w:jc w:val="center"/>
        <w:rPr>
          <w:rFonts w:ascii="Arial" w:hAnsi="Arial" w:cs="Arial"/>
          <w:b/>
          <w:sz w:val="20"/>
          <w:szCs w:val="20"/>
          <w:lang w:eastAsia="de-DE"/>
        </w:rPr>
      </w:pPr>
      <w:r w:rsidRPr="00604964">
        <w:rPr>
          <w:rFonts w:ascii="Arial" w:hAnsi="Arial" w:cs="Arial"/>
          <w:b/>
          <w:sz w:val="20"/>
          <w:szCs w:val="20"/>
          <w:lang w:eastAsia="de-DE"/>
        </w:rPr>
        <w:t>III.</w:t>
      </w:r>
    </w:p>
    <w:p w:rsidR="0057440D" w:rsidRPr="00604964" w:rsidRDefault="0057440D" w:rsidP="00604964">
      <w:pPr>
        <w:ind w:right="480"/>
        <w:jc w:val="center"/>
        <w:rPr>
          <w:rFonts w:ascii="Arial" w:hAnsi="Arial" w:cs="Arial"/>
          <w:b/>
          <w:bCs/>
          <w:sz w:val="20"/>
          <w:szCs w:val="20"/>
          <w:lang w:eastAsia="de-DE"/>
        </w:rPr>
      </w:pPr>
      <w:r w:rsidRPr="00604964">
        <w:rPr>
          <w:rFonts w:ascii="Arial" w:hAnsi="Arial" w:cs="Arial"/>
          <w:b/>
          <w:bCs/>
          <w:sz w:val="20"/>
          <w:szCs w:val="20"/>
          <w:lang w:eastAsia="de-DE"/>
        </w:rPr>
        <w:t>Wirksamkeit der Allgemeinverbindlicherklärungen von Tarifverträgen im Baugewerbe</w:t>
      </w:r>
    </w:p>
    <w:p w:rsidR="00080D74" w:rsidRPr="00604964" w:rsidRDefault="00080D74" w:rsidP="00604964">
      <w:pPr>
        <w:ind w:right="540"/>
        <w:jc w:val="center"/>
        <w:rPr>
          <w:rFonts w:ascii="Arial" w:hAnsi="Arial" w:cs="Arial"/>
          <w:bCs/>
          <w:sz w:val="20"/>
          <w:szCs w:val="20"/>
        </w:rPr>
      </w:pPr>
      <w:r w:rsidRPr="00604964">
        <w:rPr>
          <w:rFonts w:ascii="Arial" w:hAnsi="Arial" w:cs="Arial"/>
          <w:bCs/>
          <w:sz w:val="20"/>
          <w:szCs w:val="20"/>
          <w:lang w:eastAsia="de-DE"/>
        </w:rPr>
        <w:t>B</w:t>
      </w:r>
      <w:r w:rsidR="0057440D" w:rsidRPr="00604964">
        <w:rPr>
          <w:rFonts w:ascii="Arial" w:hAnsi="Arial" w:cs="Arial"/>
          <w:bCs/>
          <w:sz w:val="20"/>
          <w:szCs w:val="20"/>
          <w:lang w:eastAsia="de-DE"/>
        </w:rPr>
        <w:t xml:space="preserve">AG, </w:t>
      </w:r>
      <w:r w:rsidRPr="00604964">
        <w:rPr>
          <w:rFonts w:ascii="Arial" w:hAnsi="Arial" w:cs="Arial"/>
          <w:bCs/>
          <w:sz w:val="20"/>
          <w:szCs w:val="20"/>
        </w:rPr>
        <w:t>Beschluss vom 21. März 2018</w:t>
      </w:r>
      <w:r w:rsidR="0057440D" w:rsidRPr="00604964">
        <w:rPr>
          <w:rFonts w:ascii="Arial" w:hAnsi="Arial" w:cs="Arial"/>
          <w:bCs/>
          <w:sz w:val="20"/>
          <w:szCs w:val="20"/>
        </w:rPr>
        <w:t>, Az.</w:t>
      </w:r>
      <w:r w:rsidRPr="00604964">
        <w:rPr>
          <w:rFonts w:ascii="Arial" w:hAnsi="Arial" w:cs="Arial"/>
          <w:bCs/>
          <w:sz w:val="20"/>
          <w:szCs w:val="20"/>
        </w:rPr>
        <w:t xml:space="preserve"> 10 ABR 62/16</w:t>
      </w:r>
    </w:p>
    <w:p w:rsidR="00080D74" w:rsidRPr="00604964" w:rsidRDefault="00080D74" w:rsidP="00604964">
      <w:pPr>
        <w:ind w:right="480"/>
        <w:jc w:val="both"/>
        <w:rPr>
          <w:rFonts w:ascii="Arial" w:hAnsi="Arial" w:cs="Arial"/>
          <w:b/>
          <w:bCs/>
          <w:sz w:val="20"/>
          <w:szCs w:val="20"/>
          <w:lang w:eastAsia="de-DE"/>
        </w:rPr>
      </w:pPr>
    </w:p>
    <w:p w:rsidR="0057440D" w:rsidRPr="00604964" w:rsidRDefault="00080D74" w:rsidP="00604964">
      <w:pPr>
        <w:ind w:right="480"/>
        <w:jc w:val="both"/>
        <w:rPr>
          <w:rFonts w:ascii="Arial" w:hAnsi="Arial" w:cs="Arial"/>
          <w:sz w:val="20"/>
          <w:szCs w:val="20"/>
          <w:lang w:eastAsia="de-DE"/>
        </w:rPr>
      </w:pPr>
      <w:r w:rsidRPr="00604964">
        <w:rPr>
          <w:rFonts w:ascii="Arial" w:hAnsi="Arial" w:cs="Arial"/>
          <w:sz w:val="20"/>
          <w:szCs w:val="20"/>
          <w:lang w:eastAsia="de-DE"/>
        </w:rPr>
        <w:t>Die Allgemeinverbindlicherklärungen vom 6. Juli 2015 des Tarifvertrags über das Sozialkassenverfahren im Baugewerbe (VTV), des Bundesrahmentarifvertrags für das Baugewerbe (BRTV), des Tarifvertrags über die Berufsbildung im Baugewerbe (BBTV) und des Tarifvertrags über eine zusätzliche Altersversorgung im Baugewerbe (TZA Bau) sind rechtswirksam. Die nach § 5 TVG* geforderten Voraussetzungen waren erfüllt; insbesondere bestand ein öffentliches Interesse an den Allgemeinverbindlicherklärungen.</w:t>
      </w:r>
    </w:p>
    <w:p w:rsidR="0057440D" w:rsidRPr="00604964" w:rsidRDefault="00080D74" w:rsidP="00604964">
      <w:pPr>
        <w:ind w:right="480"/>
        <w:jc w:val="both"/>
        <w:rPr>
          <w:rFonts w:ascii="Arial" w:hAnsi="Arial" w:cs="Arial"/>
          <w:sz w:val="20"/>
          <w:szCs w:val="20"/>
          <w:lang w:eastAsia="de-DE"/>
        </w:rPr>
      </w:pPr>
      <w:r w:rsidRPr="00604964">
        <w:rPr>
          <w:rFonts w:ascii="Arial" w:hAnsi="Arial" w:cs="Arial"/>
          <w:sz w:val="20"/>
          <w:szCs w:val="20"/>
          <w:lang w:eastAsia="de-DE"/>
        </w:rPr>
        <w:t xml:space="preserve">Auf Antrag der Tarifvertragsparteien des Baugewerbes hat das Bundesministerium für Arbeit und Soziales (BMAS) am 6. Juli 2015 nach § 5 TVG den Tarifvertrag über das Sozialkassenverfahren im Baugewerbe (VTV) vom 3. Mai 2013 idF vom 10. Dezember 2014, den Bundesrahmentarifvertrag für das Baugewerbe (BRTV) vom 4. Juli 2002 idF vom 10. Dezember 2014, den Tarifvertrag über die Berufsbildung im Baugewerbe (BBTV) vom 10. Dezember 2014 und den Tarifvertrag über eine zusätzliche Altersversorgung im Baugewerbe (TZA Bau) vom 5. Juni 2014 idF vom 10. Dezember 2014 mit bereits im Antrag enthaltenen Einschränkungen bezüglich des betrieblichen Geltungsbereichs („Große Einschränkungsklausel“) für allgemeinverbindlich erklärt (AVE VTV 2015, AVE BRTV 2015, AVE BBTV 2015 und AVE TZA Bau 2015). </w:t>
      </w:r>
    </w:p>
    <w:p w:rsidR="0057440D" w:rsidRPr="00604964" w:rsidRDefault="00080D74" w:rsidP="00604964">
      <w:pPr>
        <w:ind w:right="480"/>
        <w:jc w:val="both"/>
        <w:rPr>
          <w:rFonts w:ascii="Arial" w:hAnsi="Arial" w:cs="Arial"/>
          <w:sz w:val="20"/>
          <w:szCs w:val="20"/>
          <w:lang w:eastAsia="de-DE"/>
        </w:rPr>
      </w:pPr>
      <w:r w:rsidRPr="00604964">
        <w:rPr>
          <w:rFonts w:ascii="Arial" w:hAnsi="Arial" w:cs="Arial"/>
          <w:sz w:val="20"/>
          <w:szCs w:val="20"/>
          <w:lang w:eastAsia="de-DE"/>
        </w:rPr>
        <w:t>Die für allgemeinverbindlich erklärten Tarifverträge regeln das Sozialkassenverfahren im Baugewerbe (VTV), die Berufsbildung im Baugewerbe (BBTV), die zusätzliche Altersrente im Baugewerbe (TZA Bau) und die Rahmenbedingungen der Beschäftigung im Baugewerbe (BRTV). Bei den Sozialkassen des Baugewerbes (SOKA-BAU) handelt es sich um gemeinsame Einrichtungen der Tarifvertragsparteien des Baugewerbes (Industriegewerkschaft Bauen-Agrar-Umwelt - IG BAU -, Hauptverband der Deutschen Bauindustrie e. V. - HDB - und Zentralverband des Deutschen Baugewerbes e. V. - ZDB -). Die Urlaubs- und Lohnausgleichskasse erbringt Leistungen im Urlaubs- und Berufsbildungsverfahren, die Zusatzversorgungskasse des Baugewerbes zusätzliche Altersversorgungsleistungen. Zur Finanzierung dieser Leistungen werden nach Maßgabe des VTV Beiträge von den Arbeitgebern erhoben. Durch die AVE gelten die Tarifverträge nicht nur für die tarifgebundenen Mitglieder der Tarifvertragsparteien, sondern auch für alle anderen Arbeitgeber der Branche. Sie sind verpflichtet, die tariflichen Arbeitsbedingungen einzuhalten und Beiträge an die Sozialkassen zu leisten. Sowohl die Arbeitgeber als auch die Arbeitnehmer erhalten Leistungen von den Sozialkassen.</w:t>
      </w:r>
    </w:p>
    <w:p w:rsidR="0057440D" w:rsidRPr="00604964" w:rsidRDefault="00080D74" w:rsidP="00604964">
      <w:pPr>
        <w:ind w:right="480"/>
        <w:jc w:val="both"/>
        <w:rPr>
          <w:rFonts w:ascii="Arial" w:hAnsi="Arial" w:cs="Arial"/>
          <w:sz w:val="20"/>
          <w:szCs w:val="20"/>
          <w:lang w:eastAsia="de-DE"/>
        </w:rPr>
      </w:pPr>
      <w:r w:rsidRPr="00604964">
        <w:rPr>
          <w:rFonts w:ascii="Arial" w:hAnsi="Arial" w:cs="Arial"/>
          <w:sz w:val="20"/>
          <w:szCs w:val="20"/>
          <w:lang w:eastAsia="de-DE"/>
        </w:rPr>
        <w:t>Bei den Antragstellern handelt es sich um Arbeitgeber, die nicht Mitglied einer tarifvertragsschließenden Arbeitgebervereinigung sind und deshalb nur auf Grundlage der Allgemeinverbindlicherklärungen zu Beitragszahlungen herangezogen wurden. Sie haben die Auffassung vertreten, § 5 TVG in der seit dem 16. August 2014 geltenden Fassung sei verfassungswidrig. Die Tarifverträge seien mangels Tariffähigkeit und/oder Tarifzuständigkeit der Tarifvertragsparteien des Baugewerbes unwirksam. Im Übrigen hätten die gesetzlichen Voraussetzungen für den Erlass der Allgemeinverbindlicherklärungen nicht vorgelegen; insbesondere habe kein öffentliches Interesse an den Allgemeinverbindlicherklärungen bestanden. Das Landesarbeitsgericht hat die Anträge zurückgewiesen und festgestellt, dass die angegriffenen Allgemeinverbindlicherklärungen wirksam sind.</w:t>
      </w:r>
    </w:p>
    <w:p w:rsidR="00080D74" w:rsidRPr="00604964" w:rsidRDefault="00080D74" w:rsidP="00604964">
      <w:pPr>
        <w:ind w:right="480"/>
        <w:jc w:val="both"/>
        <w:rPr>
          <w:rFonts w:ascii="Arial" w:hAnsi="Arial" w:cs="Arial"/>
          <w:sz w:val="20"/>
          <w:szCs w:val="20"/>
          <w:lang w:eastAsia="de-DE"/>
        </w:rPr>
      </w:pPr>
      <w:r w:rsidRPr="00604964">
        <w:rPr>
          <w:rFonts w:ascii="Arial" w:hAnsi="Arial" w:cs="Arial"/>
          <w:sz w:val="20"/>
          <w:szCs w:val="20"/>
          <w:lang w:eastAsia="de-DE"/>
        </w:rPr>
        <w:t xml:space="preserve">Die vom Landesarbeitsgericht zugelassenen Rechtsbeschwerden hatten vor dem Zehnten Senat des Bundesarbeitsgerichts keinen Erfolg. Die angegriffenen Allgemeinverbindlicherklärungen vom 6. Juli 2015 des VTV, des BRTV, des BBTV (soweit über diese eine Entscheidung erging) und des TZA Bau sind wirksam. Verfassungsrechtliche Bedenken gegen § 5 TVG neuer Fassung hat der Senat nicht. Dies gilt auch hinsichtlich der Bestimmung über die Allgemeinverbindlicherklärung von Tarifverträgen über gemeinsame Einrichtungen der Tarifvertragsparteien (§ 5 Abs. 1a TVG). Vernünftige Zweifel an der Tariffähigkeit oder der Tarifzuständigkeit der Tarifvertragsparteien des Baugewerbes bestanden nicht. Das BMAS durfte annehmen, dass der Erlass der angegriffenen Allgemeinverbindlicherklärungen im öffentlichen Interesse geboten erschien. </w:t>
      </w:r>
    </w:p>
    <w:p w:rsidR="00080D74" w:rsidRPr="00604964" w:rsidRDefault="00080D74" w:rsidP="00604964">
      <w:pPr>
        <w:ind w:right="480"/>
        <w:jc w:val="both"/>
        <w:rPr>
          <w:rFonts w:ascii="Arial" w:hAnsi="Arial" w:cs="Arial"/>
          <w:iCs/>
          <w:sz w:val="20"/>
          <w:szCs w:val="20"/>
          <w:lang w:eastAsia="de-DE"/>
        </w:rPr>
      </w:pPr>
    </w:p>
    <w:p w:rsidR="00080D74" w:rsidRPr="00604964" w:rsidRDefault="00080D74" w:rsidP="00604964">
      <w:pPr>
        <w:ind w:right="480"/>
        <w:jc w:val="both"/>
        <w:rPr>
          <w:rFonts w:ascii="Arial" w:hAnsi="Arial" w:cs="Arial"/>
          <w:b/>
          <w:bCs/>
          <w:i/>
          <w:iCs/>
          <w:color w:val="002060"/>
          <w:sz w:val="16"/>
          <w:szCs w:val="16"/>
          <w:lang w:eastAsia="de-DE"/>
        </w:rPr>
      </w:pPr>
      <w:r w:rsidRPr="00604964">
        <w:rPr>
          <w:rFonts w:ascii="Arial" w:hAnsi="Arial" w:cs="Arial"/>
          <w:b/>
          <w:bCs/>
          <w:color w:val="002060"/>
          <w:sz w:val="16"/>
          <w:szCs w:val="16"/>
          <w:u w:val="single"/>
          <w:lang w:eastAsia="de-DE"/>
        </w:rPr>
        <w:t xml:space="preserve">Siehe: </w:t>
      </w:r>
    </w:p>
    <w:p w:rsidR="00080D74" w:rsidRPr="00604964" w:rsidRDefault="00080D74" w:rsidP="00604964">
      <w:pPr>
        <w:rPr>
          <w:rFonts w:ascii="Arial" w:hAnsi="Arial" w:cs="Arial"/>
          <w:sz w:val="20"/>
          <w:szCs w:val="20"/>
          <w:lang w:eastAsia="de-DE"/>
        </w:rPr>
      </w:pPr>
      <w:hyperlink r:id="rId9" w:history="1">
        <w:r w:rsidRPr="00604964">
          <w:rPr>
            <w:rStyle w:val="Hyperlink"/>
            <w:rFonts w:ascii="Arial" w:hAnsi="Arial" w:cs="Arial"/>
            <w:sz w:val="16"/>
            <w:szCs w:val="16"/>
            <w:lang w:eastAsia="de-DE"/>
          </w:rPr>
          <w:t>http://juris.bundesarbeitsgericht.de/cgi-bin/rechtsprechung/document.py?Gericht=bag&amp;Art=pm&amp;Datum=2018&amp;nr=19947&amp;pos=1&amp;anz=17&amp;titel=Wirksamkeit_der_Allgemeinverbindlicherkl%E4rungen_von_Tarifvertr%E4gen_im_Baugewerbe</w:t>
        </w:r>
      </w:hyperlink>
    </w:p>
    <w:p w:rsidR="00080D74" w:rsidRPr="00604964" w:rsidRDefault="00080D74" w:rsidP="00604964">
      <w:pPr>
        <w:rPr>
          <w:rFonts w:ascii="Arial" w:hAnsi="Arial" w:cs="Arial"/>
          <w:sz w:val="20"/>
          <w:szCs w:val="20"/>
          <w:lang w:eastAsia="de-DE"/>
        </w:rPr>
      </w:pPr>
    </w:p>
    <w:p w:rsidR="00080D74" w:rsidRPr="00604964" w:rsidRDefault="0057440D" w:rsidP="00604964">
      <w:pPr>
        <w:ind w:right="540"/>
        <w:jc w:val="center"/>
        <w:rPr>
          <w:rFonts w:ascii="Arial" w:hAnsi="Arial" w:cs="Arial"/>
          <w:b/>
          <w:sz w:val="20"/>
          <w:szCs w:val="20"/>
          <w:lang w:eastAsia="de-DE"/>
        </w:rPr>
      </w:pPr>
      <w:r w:rsidRPr="00604964">
        <w:rPr>
          <w:rFonts w:ascii="Arial" w:hAnsi="Arial" w:cs="Arial"/>
          <w:b/>
          <w:sz w:val="20"/>
          <w:szCs w:val="20"/>
          <w:lang w:eastAsia="de-DE"/>
        </w:rPr>
        <w:t>IV.</w:t>
      </w:r>
    </w:p>
    <w:p w:rsidR="0057440D" w:rsidRPr="00604964" w:rsidRDefault="0057440D" w:rsidP="00604964">
      <w:pPr>
        <w:ind w:right="480"/>
        <w:jc w:val="center"/>
        <w:rPr>
          <w:rFonts w:ascii="Arial" w:hAnsi="Arial" w:cs="Arial"/>
          <w:b/>
          <w:bCs/>
          <w:sz w:val="20"/>
          <w:szCs w:val="20"/>
          <w:lang w:eastAsia="de-DE"/>
        </w:rPr>
      </w:pPr>
      <w:r w:rsidRPr="00604964">
        <w:rPr>
          <w:rFonts w:ascii="Arial" w:hAnsi="Arial" w:cs="Arial"/>
          <w:b/>
          <w:bCs/>
          <w:sz w:val="20"/>
          <w:szCs w:val="20"/>
          <w:lang w:eastAsia="de-DE"/>
        </w:rPr>
        <w:t>Aufhebungsvertrag - Begünstigung eines Betriebsratsmitglieds</w:t>
      </w:r>
    </w:p>
    <w:p w:rsidR="00080D74" w:rsidRPr="00604964" w:rsidRDefault="00080D74" w:rsidP="00604964">
      <w:pPr>
        <w:ind w:right="540"/>
        <w:jc w:val="center"/>
        <w:rPr>
          <w:rFonts w:ascii="Arial" w:hAnsi="Arial" w:cs="Arial"/>
          <w:bCs/>
          <w:sz w:val="20"/>
          <w:szCs w:val="20"/>
        </w:rPr>
      </w:pPr>
      <w:r w:rsidRPr="00604964">
        <w:rPr>
          <w:rFonts w:ascii="Arial" w:hAnsi="Arial" w:cs="Arial"/>
          <w:bCs/>
          <w:sz w:val="20"/>
          <w:szCs w:val="20"/>
          <w:lang w:eastAsia="de-DE"/>
        </w:rPr>
        <w:t>Bundesarbeitsgericht</w:t>
      </w:r>
      <w:r w:rsidR="0057440D" w:rsidRPr="00604964">
        <w:rPr>
          <w:rFonts w:ascii="Arial" w:hAnsi="Arial" w:cs="Arial"/>
          <w:bCs/>
          <w:sz w:val="20"/>
          <w:szCs w:val="20"/>
          <w:lang w:eastAsia="de-DE"/>
        </w:rPr>
        <w:t>,</w:t>
      </w:r>
      <w:r w:rsidRPr="00604964">
        <w:rPr>
          <w:rFonts w:ascii="Arial" w:hAnsi="Arial" w:cs="Arial"/>
          <w:bCs/>
          <w:sz w:val="20"/>
          <w:szCs w:val="20"/>
          <w:lang w:eastAsia="de-DE"/>
        </w:rPr>
        <w:t xml:space="preserve"> </w:t>
      </w:r>
      <w:r w:rsidRPr="00604964">
        <w:rPr>
          <w:rFonts w:ascii="Arial" w:hAnsi="Arial" w:cs="Arial"/>
          <w:bCs/>
          <w:sz w:val="20"/>
          <w:szCs w:val="20"/>
        </w:rPr>
        <w:t>Urteil vom 21. März 2018</w:t>
      </w:r>
      <w:r w:rsidR="0057440D" w:rsidRPr="00604964">
        <w:rPr>
          <w:rFonts w:ascii="Arial" w:hAnsi="Arial" w:cs="Arial"/>
          <w:bCs/>
          <w:sz w:val="20"/>
          <w:szCs w:val="20"/>
        </w:rPr>
        <w:t>, Az.</w:t>
      </w:r>
      <w:r w:rsidRPr="00604964">
        <w:rPr>
          <w:rFonts w:ascii="Arial" w:hAnsi="Arial" w:cs="Arial"/>
          <w:bCs/>
          <w:sz w:val="20"/>
          <w:szCs w:val="20"/>
        </w:rPr>
        <w:t xml:space="preserve"> 7 AZR 590/16</w:t>
      </w:r>
    </w:p>
    <w:p w:rsidR="00080D74" w:rsidRPr="00604964" w:rsidRDefault="00080D74" w:rsidP="00604964">
      <w:pPr>
        <w:ind w:right="480"/>
        <w:jc w:val="both"/>
        <w:rPr>
          <w:rFonts w:ascii="Arial" w:hAnsi="Arial" w:cs="Arial"/>
          <w:b/>
          <w:bCs/>
          <w:sz w:val="20"/>
          <w:szCs w:val="20"/>
          <w:lang w:eastAsia="de-DE"/>
        </w:rPr>
      </w:pPr>
    </w:p>
    <w:p w:rsidR="00080D74" w:rsidRPr="00604964" w:rsidRDefault="00080D74" w:rsidP="00604964">
      <w:pPr>
        <w:ind w:right="480"/>
        <w:jc w:val="both"/>
        <w:rPr>
          <w:rFonts w:ascii="Arial" w:hAnsi="Arial" w:cs="Arial"/>
          <w:sz w:val="20"/>
          <w:szCs w:val="20"/>
          <w:lang w:eastAsia="de-DE"/>
        </w:rPr>
      </w:pPr>
      <w:r w:rsidRPr="00604964">
        <w:rPr>
          <w:rFonts w:ascii="Arial" w:hAnsi="Arial" w:cs="Arial"/>
          <w:sz w:val="20"/>
          <w:szCs w:val="20"/>
          <w:lang w:eastAsia="de-DE"/>
        </w:rPr>
        <w:t>Beabsichtigt der Arbeitgeber, das Arbeitsverhältnis mit einem Betriebsratsmitglied unter Berufung auf verhaltensbedingte Gründe außerordentlich zu kündigen und schließen Arbeitgeber und Betriebsratsmitglied nach Einleitung eines Verfahrens zur Ersetzung der Zustimmung des Betriebsrats zu der Kündigung und nach vorausgegangenen Verhandlungen eine Vereinbarung über die Beendigung des Arbeitsverhältnisses gegen Zahlung einer Abfindung und ggf. andere Zuwendungen, so liegt darin regelmäßig keine nach § 78 Satz 2 BetrVG unzulässige Begünstigung des Betriebsratsmitglieds.</w:t>
      </w:r>
    </w:p>
    <w:p w:rsidR="0057440D" w:rsidRPr="00604964" w:rsidRDefault="00080D74" w:rsidP="00604964">
      <w:pPr>
        <w:ind w:right="480"/>
        <w:jc w:val="both"/>
        <w:rPr>
          <w:rFonts w:ascii="Arial" w:hAnsi="Arial" w:cs="Arial"/>
          <w:sz w:val="20"/>
          <w:szCs w:val="20"/>
          <w:lang w:eastAsia="de-DE"/>
        </w:rPr>
      </w:pPr>
      <w:r w:rsidRPr="00604964">
        <w:rPr>
          <w:rFonts w:ascii="Arial" w:hAnsi="Arial" w:cs="Arial"/>
          <w:sz w:val="20"/>
          <w:szCs w:val="20"/>
          <w:lang w:eastAsia="de-DE"/>
        </w:rPr>
        <w:t>Der Kläger war seit 1983 bei der Beklagten beschäftigt und seit 2006 Vorsitzender des in ihrem Betrieb gebildeten Betriebsrats. Anfang Juli 2013 hatte die Beklagte beim Arbeitsgericht unter Berufung auf - vom Kläger bestrittene - verhaltensbedingte Gründe ein Verfahren zur Ersetzung der Zustimmung des Betriebsrats zur außerordentlichen Kündigung des Arbeitsverhältnisses des Klägers eingeleitet. Am 22. Juli 2013 schlossen die Parteien außergerichtlich einen Aufhebungsvertrag, in dem ua. die Beendigung des Arbeitsverhältnisses zum 31. Dezember 2015, die Freistellung unter Vergütungsfortzahlung und eine noch im Verlauf des Arbeitsverhältnisses auszuzahlende Abfindung von 120.000,00 Euro netto vereinbart wurde. Nachdem der Kläger am 23. Juli 2013 vereinbarungsgemäß von seinem Betriebsratsamt zurückgetreten und in der Folgezeit die Auszahlung der Abfindung an ihn erfolgt war, hat er mit der vorliegenden Klage den Fortbestand seines Arbeitsverhältnisses über den 31. Dezember 2015 hinaus geltend gemacht. Er meint, der Aufhebungsvertrag sei nichtig, weil er durch diesen als Betriebsratsmitglied in unzulässiger Weise begünstigt werde.</w:t>
      </w:r>
    </w:p>
    <w:p w:rsidR="00080D74" w:rsidRPr="00604964" w:rsidRDefault="00080D74" w:rsidP="00604964">
      <w:pPr>
        <w:ind w:right="480"/>
        <w:jc w:val="both"/>
        <w:rPr>
          <w:rFonts w:ascii="Arial" w:hAnsi="Arial" w:cs="Arial"/>
          <w:sz w:val="20"/>
          <w:szCs w:val="20"/>
          <w:lang w:eastAsia="de-DE"/>
        </w:rPr>
      </w:pPr>
      <w:r w:rsidRPr="00604964">
        <w:rPr>
          <w:rFonts w:ascii="Arial" w:hAnsi="Arial" w:cs="Arial"/>
          <w:sz w:val="20"/>
          <w:szCs w:val="20"/>
          <w:lang w:eastAsia="de-DE"/>
        </w:rPr>
        <w:t>Die Klage blieb beim Bundesarbeitsgericht - wie bereits in den Vorinstanzen - ohne Erfolg. Nach § 78 Satz 2 BetrVG dürfen Mitglieder des Betriebsrats wegen ihrer Betriebsratstätigkeit weder benachteiligt noch begünstigt werden. Vereinbarungen, die hiergegen verstoßen, sind nach § 134 BGB nichtig. Durch den Abschluss eines Aufhebungsvertrags wird das Betriebsratsmitglied allerdings regelmäßig nicht unzulässig begünstigt. Soweit die Verhandlungsposition des Betriebsratsmitglieds günstiger ist als die eines Arbeitnehmers ohne Betriebsratsamt, beruht dies auf dem in § 15 KSchG und § 103 BetrVG geregelten Sonderkündigungsschutz.</w:t>
      </w:r>
    </w:p>
    <w:p w:rsidR="00080D74" w:rsidRPr="00604964" w:rsidRDefault="00080D74" w:rsidP="00604964">
      <w:pPr>
        <w:ind w:right="480"/>
        <w:jc w:val="both"/>
        <w:rPr>
          <w:rFonts w:ascii="Arial" w:hAnsi="Arial" w:cs="Arial"/>
          <w:iCs/>
          <w:sz w:val="20"/>
          <w:szCs w:val="20"/>
          <w:lang w:eastAsia="de-DE"/>
        </w:rPr>
      </w:pPr>
    </w:p>
    <w:p w:rsidR="00080D74" w:rsidRPr="00604964" w:rsidRDefault="00080D74" w:rsidP="00604964">
      <w:pPr>
        <w:ind w:right="480"/>
        <w:jc w:val="both"/>
        <w:rPr>
          <w:rFonts w:ascii="Arial" w:hAnsi="Arial" w:cs="Arial"/>
          <w:b/>
          <w:bCs/>
          <w:i/>
          <w:iCs/>
          <w:color w:val="002060"/>
          <w:sz w:val="16"/>
          <w:szCs w:val="16"/>
          <w:lang w:eastAsia="de-DE"/>
        </w:rPr>
      </w:pPr>
      <w:r w:rsidRPr="00604964">
        <w:rPr>
          <w:rFonts w:ascii="Arial" w:hAnsi="Arial" w:cs="Arial"/>
          <w:b/>
          <w:bCs/>
          <w:color w:val="002060"/>
          <w:sz w:val="16"/>
          <w:szCs w:val="16"/>
          <w:u w:val="single"/>
          <w:lang w:eastAsia="de-DE"/>
        </w:rPr>
        <w:t xml:space="preserve">Siehe: </w:t>
      </w:r>
    </w:p>
    <w:p w:rsidR="00080D74" w:rsidRPr="00604964" w:rsidRDefault="00080D74" w:rsidP="00604964">
      <w:pPr>
        <w:rPr>
          <w:rFonts w:ascii="Arial" w:hAnsi="Arial" w:cs="Arial"/>
          <w:sz w:val="16"/>
          <w:szCs w:val="16"/>
          <w:lang w:eastAsia="de-DE"/>
        </w:rPr>
      </w:pPr>
      <w:hyperlink r:id="rId10" w:history="1">
        <w:r w:rsidRPr="00604964">
          <w:rPr>
            <w:rStyle w:val="Hyperlink"/>
            <w:rFonts w:ascii="Arial" w:hAnsi="Arial" w:cs="Arial"/>
            <w:sz w:val="16"/>
            <w:szCs w:val="16"/>
            <w:lang w:eastAsia="de-DE"/>
          </w:rPr>
          <w:t>http://juris.bundesarbeitsgericht.de/cgi-bin/rechtsprechung/document.py?Gericht=bag&amp;Art=pm&amp;Datum=2018&amp;nr=19920&amp;pos=2&amp;anz=17&amp;titel=Aufhebungsvertrag_-_Beg%FCnstigung_eines_Betriebsratsmitglieds</w:t>
        </w:r>
      </w:hyperlink>
    </w:p>
    <w:p w:rsidR="0073314B" w:rsidRDefault="0073314B">
      <w:pPr>
        <w:spacing w:after="160" w:line="259" w:lineRule="auto"/>
        <w:rPr>
          <w:rFonts w:ascii="Arial" w:hAnsi="Arial" w:cs="Arial"/>
          <w:sz w:val="20"/>
          <w:szCs w:val="20"/>
          <w:lang w:eastAsia="de-DE"/>
        </w:rPr>
      </w:pPr>
      <w:r>
        <w:rPr>
          <w:rFonts w:ascii="Arial" w:hAnsi="Arial" w:cs="Arial"/>
          <w:sz w:val="20"/>
          <w:szCs w:val="20"/>
          <w:lang w:eastAsia="de-DE"/>
        </w:rPr>
        <w:br w:type="page"/>
      </w:r>
    </w:p>
    <w:p w:rsidR="00080D74" w:rsidRPr="00604964" w:rsidRDefault="00080D74" w:rsidP="00604964">
      <w:pPr>
        <w:rPr>
          <w:rFonts w:ascii="Arial" w:hAnsi="Arial" w:cs="Arial"/>
          <w:sz w:val="20"/>
          <w:szCs w:val="20"/>
          <w:lang w:eastAsia="de-DE"/>
        </w:rPr>
      </w:pPr>
    </w:p>
    <w:p w:rsidR="00080D74" w:rsidRPr="0073314B" w:rsidRDefault="0057440D" w:rsidP="00604964">
      <w:pPr>
        <w:keepNext/>
        <w:jc w:val="center"/>
        <w:rPr>
          <w:rFonts w:ascii="Arial" w:hAnsi="Arial" w:cs="Arial"/>
          <w:b/>
          <w:sz w:val="20"/>
          <w:szCs w:val="20"/>
          <w:lang w:eastAsia="de-DE"/>
        </w:rPr>
      </w:pPr>
      <w:r w:rsidRPr="0073314B">
        <w:rPr>
          <w:rFonts w:ascii="Arial" w:hAnsi="Arial" w:cs="Arial"/>
          <w:b/>
          <w:sz w:val="20"/>
          <w:szCs w:val="20"/>
          <w:lang w:eastAsia="de-DE"/>
        </w:rPr>
        <w:t>V.</w:t>
      </w:r>
    </w:p>
    <w:p w:rsidR="0073314B" w:rsidRDefault="0057440D" w:rsidP="00604964">
      <w:pPr>
        <w:jc w:val="center"/>
        <w:rPr>
          <w:rFonts w:ascii="Arial" w:hAnsi="Arial" w:cs="Arial"/>
          <w:b/>
          <w:bCs/>
          <w:sz w:val="20"/>
          <w:szCs w:val="20"/>
          <w:lang w:eastAsia="de-DE"/>
        </w:rPr>
      </w:pPr>
      <w:r w:rsidRPr="00604964">
        <w:rPr>
          <w:rFonts w:ascii="Arial" w:hAnsi="Arial" w:cs="Arial"/>
          <w:b/>
          <w:bCs/>
          <w:sz w:val="20"/>
          <w:szCs w:val="20"/>
          <w:lang w:eastAsia="de-DE"/>
        </w:rPr>
        <w:t xml:space="preserve">Einstellungsanspruch eines betriebsbedingt entlassenen Arbeitnehmers gegen ein Schwesterunternehmen seines bisherigen Arbeitgebers, aufgrund eines Beitritts des Schwesterunternehmens zu dem Interessenausgleich des bisherigen Arbeitgebers, Auslegung einer Beitrittserklärung eines Schwesterunternehmens zu dem Interessenausgleich eines Unternehmens, Auslegung eines in einem als Betriebsvereinbarung abgeschlossenen Interessenausgleich enthaltenen Einstellungsanspruchs, Grenzen des Wertungsspielraums des Arbeitgebers bei der Gewichtung der vier Kriterien der sozialen Auswahl </w:t>
      </w:r>
    </w:p>
    <w:p w:rsidR="00080D74" w:rsidRPr="0073314B" w:rsidRDefault="00080D74" w:rsidP="00604964">
      <w:pPr>
        <w:jc w:val="center"/>
        <w:rPr>
          <w:rFonts w:ascii="Arial" w:hAnsi="Arial" w:cs="Arial"/>
          <w:bCs/>
          <w:sz w:val="20"/>
          <w:szCs w:val="20"/>
          <w:u w:val="single"/>
          <w:lang w:eastAsia="de-DE"/>
        </w:rPr>
      </w:pPr>
      <w:r w:rsidRPr="0073314B">
        <w:rPr>
          <w:rFonts w:ascii="Arial" w:hAnsi="Arial" w:cs="Arial"/>
          <w:bCs/>
          <w:sz w:val="20"/>
          <w:szCs w:val="20"/>
        </w:rPr>
        <w:t>L</w:t>
      </w:r>
      <w:r w:rsidR="0057440D" w:rsidRPr="0073314B">
        <w:rPr>
          <w:rFonts w:ascii="Arial" w:hAnsi="Arial" w:cs="Arial"/>
          <w:bCs/>
          <w:sz w:val="20"/>
          <w:szCs w:val="20"/>
        </w:rPr>
        <w:t xml:space="preserve">AG </w:t>
      </w:r>
      <w:r w:rsidRPr="0073314B">
        <w:rPr>
          <w:rFonts w:ascii="Arial" w:hAnsi="Arial" w:cs="Arial"/>
          <w:bCs/>
          <w:sz w:val="20"/>
          <w:szCs w:val="20"/>
        </w:rPr>
        <w:t>Baden-Württemberg</w:t>
      </w:r>
      <w:r w:rsidR="0057440D" w:rsidRPr="0073314B">
        <w:rPr>
          <w:rFonts w:ascii="Arial" w:hAnsi="Arial" w:cs="Arial"/>
          <w:bCs/>
          <w:sz w:val="20"/>
          <w:szCs w:val="20"/>
        </w:rPr>
        <w:t xml:space="preserve">, </w:t>
      </w:r>
      <w:r w:rsidRPr="0073314B">
        <w:rPr>
          <w:rFonts w:ascii="Arial" w:hAnsi="Arial" w:cs="Arial"/>
          <w:bCs/>
          <w:sz w:val="20"/>
          <w:szCs w:val="20"/>
        </w:rPr>
        <w:t>Urteil vom 10.10.2017, 15 Sa 33/17,</w:t>
      </w:r>
    </w:p>
    <w:p w:rsidR="00080D74" w:rsidRPr="00604964" w:rsidRDefault="00080D74" w:rsidP="00604964">
      <w:pPr>
        <w:jc w:val="both"/>
        <w:rPr>
          <w:rFonts w:ascii="Arial" w:hAnsi="Arial" w:cs="Arial"/>
          <w:b/>
          <w:bCs/>
          <w:sz w:val="20"/>
          <w:szCs w:val="20"/>
          <w:lang w:eastAsia="de-DE"/>
        </w:rPr>
      </w:pPr>
    </w:p>
    <w:p w:rsidR="0057440D" w:rsidRPr="00604964" w:rsidRDefault="00080D74" w:rsidP="00604964">
      <w:pPr>
        <w:jc w:val="both"/>
        <w:rPr>
          <w:rFonts w:ascii="Arial" w:hAnsi="Arial" w:cs="Arial"/>
          <w:sz w:val="20"/>
          <w:szCs w:val="20"/>
          <w:lang w:eastAsia="de-DE"/>
        </w:rPr>
      </w:pPr>
      <w:r w:rsidRPr="00604964">
        <w:rPr>
          <w:rFonts w:ascii="Arial" w:hAnsi="Arial" w:cs="Arial"/>
          <w:sz w:val="20"/>
          <w:szCs w:val="20"/>
          <w:lang w:eastAsia="de-DE"/>
        </w:rPr>
        <w:t>Bei Zusammentreffen der folgenden Umstände ist ein Fall gegeben, bei dem die soziale Auswahl des Arbeitgebers den von § 1 Abs. 3 KSchG eingeräumten Wertungsspielraum überschreitet und fehlerhaft ist:</w:t>
      </w:r>
    </w:p>
    <w:p w:rsidR="0057440D" w:rsidRPr="00604964" w:rsidRDefault="00080D74" w:rsidP="00604964">
      <w:pPr>
        <w:jc w:val="both"/>
        <w:rPr>
          <w:rFonts w:ascii="Arial" w:hAnsi="Arial" w:cs="Arial"/>
          <w:sz w:val="20"/>
          <w:szCs w:val="20"/>
          <w:lang w:eastAsia="de-DE"/>
        </w:rPr>
      </w:pPr>
      <w:r w:rsidRPr="00604964">
        <w:rPr>
          <w:rFonts w:ascii="Arial" w:hAnsi="Arial" w:cs="Arial"/>
          <w:sz w:val="20"/>
          <w:szCs w:val="20"/>
          <w:lang w:eastAsia="de-DE"/>
        </w:rPr>
        <w:t>1. Beide Arbeitnehmer sind nicht schwerbehindert;</w:t>
      </w:r>
    </w:p>
    <w:p w:rsidR="0057440D" w:rsidRPr="00604964" w:rsidRDefault="00080D74" w:rsidP="00604964">
      <w:pPr>
        <w:jc w:val="both"/>
        <w:rPr>
          <w:rFonts w:ascii="Arial" w:hAnsi="Arial" w:cs="Arial"/>
          <w:sz w:val="20"/>
          <w:szCs w:val="20"/>
          <w:lang w:eastAsia="de-DE"/>
        </w:rPr>
      </w:pPr>
      <w:r w:rsidRPr="00604964">
        <w:rPr>
          <w:rFonts w:ascii="Arial" w:hAnsi="Arial" w:cs="Arial"/>
          <w:sz w:val="20"/>
          <w:szCs w:val="20"/>
          <w:lang w:eastAsia="de-DE"/>
        </w:rPr>
        <w:t>2. der vom Arbeitgeber nicht ausgewählte Arbeitnehmer hat keine Unterhaltspflicht, der ausgewählte Arbeitnehmer hingegen hat vier Unterhaltspflichten bei gleichzeitigem Arbeitsplatzverlust der Ehefrau;</w:t>
      </w:r>
    </w:p>
    <w:p w:rsidR="0057440D" w:rsidRPr="00604964" w:rsidRDefault="00080D74" w:rsidP="00604964">
      <w:pPr>
        <w:jc w:val="both"/>
        <w:rPr>
          <w:rFonts w:ascii="Arial" w:hAnsi="Arial" w:cs="Arial"/>
          <w:sz w:val="20"/>
          <w:szCs w:val="20"/>
          <w:lang w:eastAsia="de-DE"/>
        </w:rPr>
      </w:pPr>
      <w:r w:rsidRPr="00604964">
        <w:rPr>
          <w:rFonts w:ascii="Arial" w:hAnsi="Arial" w:cs="Arial"/>
          <w:sz w:val="20"/>
          <w:szCs w:val="20"/>
          <w:lang w:eastAsia="de-DE"/>
        </w:rPr>
        <w:t>3. der nicht ausgewählte Arbeitnehmer ist seit mehr als 21 Jahren beschäftigt und weist das 11,9-fache der Betriebszugehörigkeit des ausgewählten Arbeitnehmers auf bei einem absoluten Unterschied von über 20 Jahren;</w:t>
      </w:r>
    </w:p>
    <w:p w:rsidR="00080D74" w:rsidRPr="00604964" w:rsidRDefault="00080D74" w:rsidP="00604964">
      <w:pPr>
        <w:jc w:val="both"/>
        <w:rPr>
          <w:rFonts w:ascii="Arial" w:hAnsi="Arial" w:cs="Arial"/>
          <w:sz w:val="20"/>
          <w:szCs w:val="20"/>
          <w:lang w:eastAsia="de-DE"/>
        </w:rPr>
      </w:pPr>
      <w:r w:rsidRPr="00604964">
        <w:rPr>
          <w:rFonts w:ascii="Arial" w:hAnsi="Arial" w:cs="Arial"/>
          <w:sz w:val="20"/>
          <w:szCs w:val="20"/>
          <w:lang w:eastAsia="de-DE"/>
        </w:rPr>
        <w:t>4. das Lebensalter des nicht ausgewählten Arbeitnehmers liegt über 55 Jahren, jedoch noch mehr als fünf Jahre vom regulären Altersrentenbeginn entfernt und beträgt mehr als das 1,25-fache des Lebensalters des ausgewählten Arbeitnehmers bei einem absoluten Unterschied von mehr als 11 Jahren.</w:t>
      </w:r>
    </w:p>
    <w:p w:rsidR="00080D74" w:rsidRPr="00604964" w:rsidRDefault="00080D74" w:rsidP="00604964">
      <w:pPr>
        <w:jc w:val="both"/>
        <w:rPr>
          <w:rFonts w:ascii="Arial" w:hAnsi="Arial" w:cs="Arial"/>
          <w:b/>
          <w:bCs/>
          <w:sz w:val="20"/>
          <w:szCs w:val="20"/>
          <w:u w:val="single"/>
          <w:lang w:eastAsia="de-DE"/>
        </w:rPr>
      </w:pPr>
    </w:p>
    <w:p w:rsidR="00080D74" w:rsidRPr="00604964" w:rsidRDefault="00080D74" w:rsidP="00604964">
      <w:pPr>
        <w:jc w:val="both"/>
        <w:rPr>
          <w:rFonts w:ascii="Arial" w:hAnsi="Arial" w:cs="Arial"/>
          <w:b/>
          <w:bCs/>
          <w:color w:val="002060"/>
          <w:sz w:val="16"/>
          <w:szCs w:val="16"/>
          <w:u w:val="single"/>
          <w:lang w:eastAsia="de-DE"/>
        </w:rPr>
      </w:pPr>
      <w:r w:rsidRPr="00604964">
        <w:rPr>
          <w:rFonts w:ascii="Arial" w:hAnsi="Arial" w:cs="Arial"/>
          <w:b/>
          <w:bCs/>
          <w:color w:val="002060"/>
          <w:sz w:val="16"/>
          <w:szCs w:val="16"/>
          <w:u w:val="single"/>
          <w:lang w:eastAsia="de-DE"/>
        </w:rPr>
        <w:t>Siehe:</w:t>
      </w:r>
    </w:p>
    <w:p w:rsidR="00080D74" w:rsidRPr="00604964" w:rsidRDefault="00080D74" w:rsidP="00604964">
      <w:pPr>
        <w:rPr>
          <w:rFonts w:ascii="Arial" w:hAnsi="Arial" w:cs="Arial"/>
          <w:sz w:val="20"/>
          <w:szCs w:val="20"/>
          <w:lang w:eastAsia="de-DE"/>
        </w:rPr>
      </w:pPr>
      <w:hyperlink r:id="rId11" w:history="1">
        <w:r w:rsidRPr="00604964">
          <w:rPr>
            <w:rStyle w:val="Hyperlink"/>
            <w:rFonts w:ascii="Arial" w:hAnsi="Arial" w:cs="Arial"/>
            <w:sz w:val="16"/>
            <w:szCs w:val="16"/>
            <w:lang w:eastAsia="de-DE"/>
          </w:rPr>
          <w:t>http://lrbw.juris.de/cgi-bin/laender_rechtsprechung/document.py?Gericht=bw&amp;GerichtAuswahl=Arbeitsgerichte&amp;Art=en&amp;Datum=2017-10&amp;nr=23277&amp;pos=7&amp;anz=9</w:t>
        </w:r>
      </w:hyperlink>
    </w:p>
    <w:p w:rsidR="00080D74" w:rsidRPr="00604964" w:rsidRDefault="00080D74" w:rsidP="00604964">
      <w:pPr>
        <w:rPr>
          <w:rFonts w:ascii="Arial" w:hAnsi="Arial" w:cs="Arial"/>
          <w:sz w:val="20"/>
          <w:szCs w:val="20"/>
          <w:lang w:eastAsia="de-DE"/>
        </w:rPr>
      </w:pPr>
    </w:p>
    <w:p w:rsidR="00080D74" w:rsidRPr="00604964" w:rsidRDefault="00604964" w:rsidP="00604964">
      <w:pPr>
        <w:jc w:val="center"/>
        <w:rPr>
          <w:rFonts w:ascii="Arial" w:hAnsi="Arial" w:cs="Arial"/>
          <w:b/>
          <w:sz w:val="20"/>
          <w:szCs w:val="20"/>
          <w:lang w:eastAsia="de-DE"/>
        </w:rPr>
      </w:pPr>
      <w:r w:rsidRPr="00604964">
        <w:rPr>
          <w:rFonts w:ascii="Arial" w:hAnsi="Arial" w:cs="Arial"/>
          <w:b/>
          <w:sz w:val="20"/>
          <w:szCs w:val="20"/>
          <w:lang w:eastAsia="de-DE"/>
        </w:rPr>
        <w:t>VI.</w:t>
      </w:r>
    </w:p>
    <w:p w:rsidR="00604964" w:rsidRPr="00604964" w:rsidRDefault="00604964" w:rsidP="00604964">
      <w:pPr>
        <w:jc w:val="center"/>
        <w:rPr>
          <w:rFonts w:ascii="Arial" w:hAnsi="Arial" w:cs="Arial"/>
          <w:b/>
          <w:sz w:val="20"/>
          <w:szCs w:val="20"/>
          <w:lang w:eastAsia="de-DE"/>
        </w:rPr>
      </w:pPr>
      <w:r w:rsidRPr="00604964">
        <w:rPr>
          <w:rFonts w:ascii="Arial" w:hAnsi="Arial" w:cs="Arial"/>
          <w:b/>
          <w:sz w:val="20"/>
          <w:szCs w:val="20"/>
          <w:lang w:eastAsia="de-DE"/>
        </w:rPr>
        <w:t>Anrechnung Höhergruppierungsgewinn durch Einführung einer neuen Entgeltordnung auf persönliche Zulage</w:t>
      </w:r>
    </w:p>
    <w:p w:rsidR="00080D74" w:rsidRPr="00604964" w:rsidRDefault="00080D74" w:rsidP="00604964">
      <w:pPr>
        <w:jc w:val="center"/>
        <w:rPr>
          <w:rFonts w:ascii="Arial" w:hAnsi="Arial" w:cs="Arial"/>
          <w:bCs/>
          <w:sz w:val="20"/>
          <w:szCs w:val="20"/>
        </w:rPr>
      </w:pPr>
      <w:r w:rsidRPr="00604964">
        <w:rPr>
          <w:rFonts w:ascii="Arial" w:hAnsi="Arial" w:cs="Arial"/>
          <w:bCs/>
          <w:sz w:val="20"/>
          <w:szCs w:val="20"/>
        </w:rPr>
        <w:t>L</w:t>
      </w:r>
      <w:r w:rsidR="00604964" w:rsidRPr="00604964">
        <w:rPr>
          <w:rFonts w:ascii="Arial" w:hAnsi="Arial" w:cs="Arial"/>
          <w:bCs/>
          <w:sz w:val="20"/>
          <w:szCs w:val="20"/>
        </w:rPr>
        <w:t xml:space="preserve">AG </w:t>
      </w:r>
      <w:r w:rsidRPr="00604964">
        <w:rPr>
          <w:rFonts w:ascii="Arial" w:hAnsi="Arial" w:cs="Arial"/>
          <w:bCs/>
          <w:sz w:val="20"/>
          <w:szCs w:val="20"/>
        </w:rPr>
        <w:t>Baden-Württemberg</w:t>
      </w:r>
      <w:r w:rsidR="00604964" w:rsidRPr="00604964">
        <w:rPr>
          <w:rFonts w:ascii="Arial" w:hAnsi="Arial" w:cs="Arial"/>
          <w:bCs/>
          <w:sz w:val="20"/>
          <w:szCs w:val="20"/>
        </w:rPr>
        <w:t xml:space="preserve">, </w:t>
      </w:r>
      <w:r w:rsidRPr="00604964">
        <w:rPr>
          <w:rFonts w:ascii="Arial" w:hAnsi="Arial" w:cs="Arial"/>
          <w:bCs/>
          <w:sz w:val="20"/>
          <w:szCs w:val="20"/>
        </w:rPr>
        <w:t xml:space="preserve">Urteil vom 20.10.2017, </w:t>
      </w:r>
      <w:r w:rsidR="00604964" w:rsidRPr="00604964">
        <w:rPr>
          <w:rFonts w:ascii="Arial" w:hAnsi="Arial" w:cs="Arial"/>
          <w:bCs/>
          <w:sz w:val="20"/>
          <w:szCs w:val="20"/>
        </w:rPr>
        <w:t xml:space="preserve">Az. </w:t>
      </w:r>
      <w:r w:rsidRPr="00604964">
        <w:rPr>
          <w:rFonts w:ascii="Arial" w:hAnsi="Arial" w:cs="Arial"/>
          <w:bCs/>
          <w:sz w:val="20"/>
          <w:szCs w:val="20"/>
        </w:rPr>
        <w:t>9 Sa 37/17</w:t>
      </w:r>
    </w:p>
    <w:p w:rsidR="00080D74" w:rsidRPr="00604964" w:rsidRDefault="00080D74" w:rsidP="00604964">
      <w:pPr>
        <w:jc w:val="both"/>
        <w:rPr>
          <w:rFonts w:ascii="Arial" w:hAnsi="Arial" w:cs="Arial"/>
          <w:sz w:val="20"/>
          <w:szCs w:val="20"/>
          <w:lang w:eastAsia="de-DE"/>
        </w:rPr>
      </w:pPr>
    </w:p>
    <w:p w:rsidR="00080D74" w:rsidRPr="00604964" w:rsidRDefault="00080D74" w:rsidP="00604964">
      <w:pPr>
        <w:jc w:val="both"/>
        <w:rPr>
          <w:rFonts w:ascii="Arial" w:hAnsi="Arial" w:cs="Arial"/>
          <w:sz w:val="20"/>
          <w:szCs w:val="20"/>
          <w:lang w:eastAsia="de-DE"/>
        </w:rPr>
      </w:pPr>
      <w:r w:rsidRPr="00604964">
        <w:rPr>
          <w:rFonts w:ascii="Arial" w:hAnsi="Arial" w:cs="Arial"/>
          <w:sz w:val="20"/>
          <w:szCs w:val="20"/>
          <w:lang w:eastAsia="de-DE"/>
        </w:rPr>
        <w:t>Eine persönliche Zulage aus der Überleitung in den BzTV-N BW nach § 24 Abs. 1 Nr. 5 BzTV-N BW wird nach der Anrechnungsklausel der Vorbemerkung 1 zur Anlage 1 des Anhangs zum 8. Änderungstarifvertrag vom 12.02.2015 nicht auf den "Höhergruppierungsgewinn" bei einer Höhergruppierung durch die Einführung der neuen Entgeltordnung durch den 8. Änderungstarifvertrag angerechnet.</w:t>
      </w:r>
    </w:p>
    <w:p w:rsidR="00080D74" w:rsidRPr="005C1CB2" w:rsidRDefault="00080D74" w:rsidP="00604964">
      <w:pPr>
        <w:jc w:val="both"/>
        <w:rPr>
          <w:rFonts w:ascii="Arial" w:hAnsi="Arial" w:cs="Arial"/>
          <w:bCs/>
          <w:sz w:val="20"/>
          <w:szCs w:val="20"/>
          <w:lang w:eastAsia="de-DE"/>
        </w:rPr>
      </w:pPr>
    </w:p>
    <w:p w:rsidR="00080D74" w:rsidRPr="00604964" w:rsidRDefault="00080D74" w:rsidP="00604964">
      <w:pPr>
        <w:jc w:val="both"/>
        <w:rPr>
          <w:rFonts w:ascii="Arial" w:hAnsi="Arial" w:cs="Arial"/>
          <w:b/>
          <w:bCs/>
          <w:color w:val="002060"/>
          <w:sz w:val="16"/>
          <w:szCs w:val="16"/>
          <w:u w:val="single"/>
          <w:lang w:eastAsia="de-DE"/>
        </w:rPr>
      </w:pPr>
      <w:r w:rsidRPr="00604964">
        <w:rPr>
          <w:rFonts w:ascii="Arial" w:hAnsi="Arial" w:cs="Arial"/>
          <w:b/>
          <w:bCs/>
          <w:color w:val="002060"/>
          <w:sz w:val="16"/>
          <w:szCs w:val="16"/>
          <w:u w:val="single"/>
          <w:lang w:eastAsia="de-DE"/>
        </w:rPr>
        <w:t>Siehe:</w:t>
      </w:r>
    </w:p>
    <w:p w:rsidR="00080D74" w:rsidRPr="00604964" w:rsidRDefault="00080D74" w:rsidP="00604964">
      <w:pPr>
        <w:rPr>
          <w:rFonts w:ascii="Arial" w:hAnsi="Arial" w:cs="Arial"/>
          <w:sz w:val="16"/>
          <w:szCs w:val="16"/>
          <w:lang w:eastAsia="de-DE"/>
        </w:rPr>
      </w:pPr>
      <w:hyperlink r:id="rId12" w:history="1">
        <w:r w:rsidRPr="00604964">
          <w:rPr>
            <w:rStyle w:val="Hyperlink"/>
            <w:rFonts w:ascii="Arial" w:hAnsi="Arial" w:cs="Arial"/>
            <w:sz w:val="16"/>
            <w:szCs w:val="16"/>
            <w:lang w:eastAsia="de-DE"/>
          </w:rPr>
          <w:t>http://lrbw.juris.de/cgi-bin/laender_rechtsprechung/document.py?Gericht=bw&amp;GerichtAuswahl=Arbeitsgerichte&amp;Art=en&amp;Datum=2017-10&amp;nr=23394&amp;pos=3&amp;anz=9</w:t>
        </w:r>
      </w:hyperlink>
    </w:p>
    <w:p w:rsidR="00080D74" w:rsidRPr="00604964" w:rsidRDefault="00080D74" w:rsidP="00604964">
      <w:pPr>
        <w:rPr>
          <w:rFonts w:ascii="Arial" w:hAnsi="Arial" w:cs="Arial"/>
          <w:sz w:val="20"/>
          <w:szCs w:val="20"/>
          <w:lang w:eastAsia="de-DE"/>
        </w:rPr>
      </w:pPr>
    </w:p>
    <w:p w:rsidR="00080D74" w:rsidRPr="00604964" w:rsidRDefault="00604964" w:rsidP="00604964">
      <w:pPr>
        <w:keepNext/>
        <w:jc w:val="center"/>
        <w:rPr>
          <w:rFonts w:ascii="Arial" w:hAnsi="Arial" w:cs="Arial"/>
          <w:b/>
          <w:sz w:val="20"/>
          <w:szCs w:val="20"/>
          <w:lang w:eastAsia="de-DE"/>
        </w:rPr>
      </w:pPr>
      <w:r w:rsidRPr="00604964">
        <w:rPr>
          <w:rFonts w:ascii="Arial" w:hAnsi="Arial" w:cs="Arial"/>
          <w:b/>
          <w:sz w:val="20"/>
          <w:szCs w:val="20"/>
          <w:lang w:eastAsia="de-DE"/>
        </w:rPr>
        <w:t>VII.</w:t>
      </w:r>
    </w:p>
    <w:p w:rsidR="00604964" w:rsidRPr="00604964" w:rsidRDefault="00604964" w:rsidP="00604964">
      <w:pPr>
        <w:keepNext/>
        <w:jc w:val="center"/>
        <w:rPr>
          <w:rFonts w:ascii="Arial" w:hAnsi="Arial" w:cs="Arial"/>
          <w:b/>
          <w:sz w:val="20"/>
          <w:szCs w:val="20"/>
          <w:lang w:eastAsia="de-DE"/>
        </w:rPr>
      </w:pPr>
      <w:r w:rsidRPr="00604964">
        <w:rPr>
          <w:rFonts w:ascii="Arial" w:hAnsi="Arial" w:cs="Arial"/>
          <w:b/>
          <w:sz w:val="20"/>
          <w:szCs w:val="20"/>
          <w:lang w:eastAsia="de-DE"/>
        </w:rPr>
        <w:t>Direktionsrecht - Inhalt des Arbeitsverhältnisses – Streitwert</w:t>
      </w:r>
    </w:p>
    <w:p w:rsidR="00080D74" w:rsidRPr="00604964" w:rsidRDefault="00080D74" w:rsidP="00604964">
      <w:pPr>
        <w:jc w:val="center"/>
        <w:rPr>
          <w:rFonts w:ascii="Arial" w:hAnsi="Arial" w:cs="Arial"/>
          <w:bCs/>
          <w:sz w:val="20"/>
          <w:szCs w:val="20"/>
        </w:rPr>
      </w:pPr>
      <w:r w:rsidRPr="00604964">
        <w:rPr>
          <w:rFonts w:ascii="Arial" w:hAnsi="Arial" w:cs="Arial"/>
          <w:bCs/>
          <w:sz w:val="20"/>
          <w:szCs w:val="20"/>
        </w:rPr>
        <w:t>Landesarbeitsgericht Baden-Württemberg</w:t>
      </w:r>
      <w:r w:rsidR="00604964" w:rsidRPr="00604964">
        <w:rPr>
          <w:rFonts w:ascii="Arial" w:hAnsi="Arial" w:cs="Arial"/>
          <w:bCs/>
          <w:sz w:val="20"/>
          <w:szCs w:val="20"/>
        </w:rPr>
        <w:t xml:space="preserve">, </w:t>
      </w:r>
      <w:r w:rsidRPr="00604964">
        <w:rPr>
          <w:rFonts w:ascii="Arial" w:hAnsi="Arial" w:cs="Arial"/>
          <w:bCs/>
          <w:sz w:val="20"/>
          <w:szCs w:val="20"/>
        </w:rPr>
        <w:t xml:space="preserve">Beschluss vom 5.3.2018, </w:t>
      </w:r>
      <w:r w:rsidR="00604964" w:rsidRPr="00604964">
        <w:rPr>
          <w:rFonts w:ascii="Arial" w:hAnsi="Arial" w:cs="Arial"/>
          <w:bCs/>
          <w:sz w:val="20"/>
          <w:szCs w:val="20"/>
        </w:rPr>
        <w:t xml:space="preserve">Az. </w:t>
      </w:r>
      <w:r w:rsidRPr="00604964">
        <w:rPr>
          <w:rFonts w:ascii="Arial" w:hAnsi="Arial" w:cs="Arial"/>
          <w:bCs/>
          <w:sz w:val="20"/>
          <w:szCs w:val="20"/>
        </w:rPr>
        <w:t>5 Ta 9/18,</w:t>
      </w:r>
    </w:p>
    <w:p w:rsidR="00080D74" w:rsidRPr="005C1CB2" w:rsidRDefault="00080D74" w:rsidP="00604964">
      <w:pPr>
        <w:jc w:val="both"/>
        <w:rPr>
          <w:rFonts w:ascii="Arial" w:hAnsi="Arial" w:cs="Arial"/>
          <w:bCs/>
          <w:sz w:val="20"/>
          <w:szCs w:val="20"/>
          <w:lang w:eastAsia="de-DE"/>
        </w:rPr>
      </w:pPr>
    </w:p>
    <w:p w:rsidR="00080D74" w:rsidRPr="00604964" w:rsidRDefault="00080D74" w:rsidP="00604964">
      <w:pPr>
        <w:jc w:val="both"/>
        <w:rPr>
          <w:rFonts w:ascii="Arial" w:hAnsi="Arial" w:cs="Arial"/>
          <w:sz w:val="20"/>
          <w:szCs w:val="20"/>
          <w:lang w:eastAsia="de-DE"/>
        </w:rPr>
      </w:pPr>
      <w:r w:rsidRPr="00604964">
        <w:rPr>
          <w:rFonts w:ascii="Arial" w:hAnsi="Arial" w:cs="Arial"/>
          <w:sz w:val="20"/>
          <w:szCs w:val="20"/>
          <w:lang w:eastAsia="de-DE"/>
        </w:rPr>
        <w:t>Die Bewertung einer Streitigkeit über die Wirksamkeit der Ausübung des Direktionsrechts und über den Inhalt des Arbeitsverhältnisses orientiert sich am Monatsverdienst, wobei in weniger gravierenden Fällen von einer Bruttomonatsvergütung auszugehen ist und je nach den Umständen des Einzelfalls eine Erhöhung auf bis zu drei Monatsverdienste in Betracht kommt.</w:t>
      </w:r>
    </w:p>
    <w:p w:rsidR="00080D74" w:rsidRPr="005C1CB2" w:rsidRDefault="00080D74" w:rsidP="00604964">
      <w:pPr>
        <w:jc w:val="both"/>
        <w:rPr>
          <w:rFonts w:ascii="Arial" w:hAnsi="Arial" w:cs="Arial"/>
          <w:bCs/>
          <w:sz w:val="20"/>
          <w:szCs w:val="20"/>
          <w:lang w:eastAsia="de-DE"/>
        </w:rPr>
      </w:pPr>
    </w:p>
    <w:p w:rsidR="00080D74" w:rsidRPr="00604964" w:rsidRDefault="00080D74" w:rsidP="00604964">
      <w:pPr>
        <w:jc w:val="both"/>
        <w:rPr>
          <w:rFonts w:ascii="Arial" w:hAnsi="Arial" w:cs="Arial"/>
          <w:b/>
          <w:bCs/>
          <w:color w:val="002060"/>
          <w:sz w:val="16"/>
          <w:szCs w:val="16"/>
          <w:u w:val="single"/>
          <w:lang w:eastAsia="de-DE"/>
        </w:rPr>
      </w:pPr>
      <w:r w:rsidRPr="00604964">
        <w:rPr>
          <w:rFonts w:ascii="Arial" w:hAnsi="Arial" w:cs="Arial"/>
          <w:b/>
          <w:bCs/>
          <w:color w:val="002060"/>
          <w:sz w:val="16"/>
          <w:szCs w:val="16"/>
          <w:u w:val="single"/>
          <w:lang w:eastAsia="de-DE"/>
        </w:rPr>
        <w:t>Siehe:</w:t>
      </w:r>
    </w:p>
    <w:p w:rsidR="00080D74" w:rsidRPr="00604964" w:rsidRDefault="00080D74" w:rsidP="00604964">
      <w:pPr>
        <w:rPr>
          <w:rFonts w:ascii="Arial" w:hAnsi="Arial" w:cs="Arial"/>
          <w:sz w:val="16"/>
          <w:szCs w:val="16"/>
          <w:lang w:eastAsia="de-DE"/>
        </w:rPr>
      </w:pPr>
      <w:hyperlink r:id="rId13" w:history="1">
        <w:r w:rsidRPr="00604964">
          <w:rPr>
            <w:rStyle w:val="Hyperlink"/>
            <w:rFonts w:ascii="Arial" w:hAnsi="Arial" w:cs="Arial"/>
            <w:sz w:val="16"/>
            <w:szCs w:val="16"/>
            <w:lang w:eastAsia="de-DE"/>
          </w:rPr>
          <w:t>http://lrbw.juris.de/cgi-bin/laender_rechtsprechung/document.py?Gericht=bw&amp;GerichtAuswahl=Arbeitsgerichte&amp;Art=en&amp;Datum=2018&amp;nr=23358&amp;pos=0&amp;anz=3</w:t>
        </w:r>
      </w:hyperlink>
    </w:p>
    <w:p w:rsidR="0073314B" w:rsidRDefault="0073314B">
      <w:pPr>
        <w:spacing w:after="160" w:line="259" w:lineRule="auto"/>
        <w:rPr>
          <w:rFonts w:ascii="Arial" w:hAnsi="Arial" w:cs="Arial"/>
          <w:sz w:val="20"/>
          <w:szCs w:val="20"/>
          <w:lang w:eastAsia="de-DE"/>
        </w:rPr>
      </w:pPr>
      <w:r>
        <w:rPr>
          <w:rFonts w:ascii="Arial" w:hAnsi="Arial" w:cs="Arial"/>
          <w:sz w:val="20"/>
          <w:szCs w:val="20"/>
          <w:lang w:eastAsia="de-DE"/>
        </w:rPr>
        <w:br w:type="page"/>
      </w:r>
    </w:p>
    <w:p w:rsidR="00080D74" w:rsidRPr="00604964" w:rsidRDefault="00080D74" w:rsidP="00604964">
      <w:pPr>
        <w:rPr>
          <w:rFonts w:ascii="Arial" w:hAnsi="Arial" w:cs="Arial"/>
          <w:sz w:val="20"/>
          <w:szCs w:val="20"/>
          <w:lang w:eastAsia="de-DE"/>
        </w:rPr>
      </w:pPr>
    </w:p>
    <w:p w:rsidR="00604964" w:rsidRPr="00604964" w:rsidRDefault="00604964" w:rsidP="00604964">
      <w:pPr>
        <w:jc w:val="center"/>
        <w:rPr>
          <w:rFonts w:ascii="Arial" w:hAnsi="Arial" w:cs="Arial"/>
          <w:b/>
          <w:sz w:val="20"/>
          <w:szCs w:val="20"/>
          <w:lang w:eastAsia="de-DE"/>
        </w:rPr>
      </w:pPr>
      <w:r w:rsidRPr="00604964">
        <w:rPr>
          <w:rFonts w:ascii="Arial" w:hAnsi="Arial" w:cs="Arial"/>
          <w:b/>
          <w:sz w:val="20"/>
          <w:szCs w:val="20"/>
          <w:lang w:eastAsia="de-DE"/>
        </w:rPr>
        <w:t>VIII.</w:t>
      </w:r>
    </w:p>
    <w:p w:rsidR="00604964" w:rsidRPr="00604964" w:rsidRDefault="00604964" w:rsidP="00604964">
      <w:pPr>
        <w:jc w:val="center"/>
        <w:rPr>
          <w:rFonts w:ascii="Arial" w:hAnsi="Arial" w:cs="Arial"/>
          <w:b/>
          <w:sz w:val="20"/>
          <w:szCs w:val="20"/>
          <w:lang w:eastAsia="de-DE"/>
        </w:rPr>
      </w:pPr>
      <w:r w:rsidRPr="00604964">
        <w:rPr>
          <w:rFonts w:ascii="Arial" w:hAnsi="Arial" w:cs="Arial"/>
          <w:b/>
          <w:sz w:val="20"/>
          <w:szCs w:val="20"/>
          <w:lang w:eastAsia="de-DE"/>
        </w:rPr>
        <w:t>Zur arbeitsschutzrechtlichen Aufklärungsbefugnis der zuständigen Behörde bei Zielvereinbarungen</w:t>
      </w:r>
    </w:p>
    <w:p w:rsidR="00604964" w:rsidRPr="00604964" w:rsidRDefault="00604964" w:rsidP="00604964">
      <w:pPr>
        <w:jc w:val="center"/>
        <w:rPr>
          <w:rFonts w:ascii="Arial" w:hAnsi="Arial" w:cs="Arial"/>
          <w:sz w:val="20"/>
          <w:szCs w:val="20"/>
          <w:lang w:eastAsia="de-DE"/>
        </w:rPr>
      </w:pPr>
      <w:r w:rsidRPr="00604964">
        <w:rPr>
          <w:rFonts w:ascii="Arial" w:hAnsi="Arial" w:cs="Arial"/>
          <w:sz w:val="20"/>
          <w:szCs w:val="20"/>
          <w:lang w:eastAsia="de-DE"/>
        </w:rPr>
        <w:t>VG Düsseldorf, Urteil vom 28. Februar 2018, Az. 29 K 4191/16</w:t>
      </w:r>
    </w:p>
    <w:p w:rsidR="00604964" w:rsidRPr="00604964" w:rsidRDefault="00604964" w:rsidP="00604964">
      <w:pPr>
        <w:jc w:val="center"/>
        <w:rPr>
          <w:rFonts w:ascii="Arial" w:hAnsi="Arial" w:cs="Arial"/>
          <w:b/>
          <w:sz w:val="20"/>
          <w:szCs w:val="20"/>
          <w:lang w:eastAsia="de-DE"/>
        </w:rPr>
      </w:pPr>
    </w:p>
    <w:p w:rsidR="00604964" w:rsidRPr="00604964" w:rsidRDefault="00604964" w:rsidP="00604964">
      <w:pPr>
        <w:jc w:val="both"/>
        <w:rPr>
          <w:rFonts w:ascii="Arial" w:hAnsi="Arial" w:cs="Arial"/>
          <w:sz w:val="20"/>
          <w:szCs w:val="20"/>
          <w:lang w:eastAsia="de-DE"/>
        </w:rPr>
      </w:pPr>
      <w:r w:rsidRPr="00604964">
        <w:rPr>
          <w:rFonts w:ascii="Arial" w:hAnsi="Arial" w:cs="Arial"/>
          <w:sz w:val="20"/>
          <w:szCs w:val="20"/>
          <w:lang w:eastAsia="de-DE"/>
        </w:rPr>
        <w:t>1. Die Einhaltung von Zielvereinbarungen, die zwar Einfluss auf die Arbeitszeitgestaltung haben können, bei denen es sich aber nicht um Regelungen der Arbeitszeit handelt, ist nicht nach ArbSchG, sondern nach der spezielleren Vorschrift des § 17 ArbZG zu überprüfen.(Rn.56)</w:t>
      </w:r>
    </w:p>
    <w:p w:rsidR="00604964" w:rsidRPr="00604964" w:rsidRDefault="00604964" w:rsidP="00604964">
      <w:pPr>
        <w:jc w:val="both"/>
        <w:rPr>
          <w:rFonts w:ascii="Arial" w:hAnsi="Arial" w:cs="Arial"/>
          <w:sz w:val="20"/>
          <w:szCs w:val="20"/>
          <w:lang w:eastAsia="de-DE"/>
        </w:rPr>
      </w:pPr>
      <w:r w:rsidRPr="00604964">
        <w:rPr>
          <w:rFonts w:ascii="Arial" w:hAnsi="Arial" w:cs="Arial"/>
          <w:sz w:val="20"/>
          <w:szCs w:val="20"/>
          <w:lang w:eastAsia="de-DE"/>
        </w:rPr>
        <w:t>2. Die Bezirksregierung kommt ihrer Überwachungsaufgabe bezüglich der Arbeitsschutzverantwortung eines Unternehmens und des Vorsorgegebots gemäß § 4 Nr 1 ArbSchG nach, wenn sie zu diesem Zweck Informationen zu abgeschlossenen Zielvereinbarungen einholt.(Rn.78)</w:t>
      </w:r>
    </w:p>
    <w:p w:rsidR="00080D74" w:rsidRPr="00604964" w:rsidRDefault="00080D74" w:rsidP="00604964">
      <w:pPr>
        <w:rPr>
          <w:rFonts w:ascii="Arial" w:hAnsi="Arial" w:cs="Arial"/>
          <w:sz w:val="20"/>
          <w:szCs w:val="20"/>
          <w:lang w:eastAsia="de-DE"/>
        </w:rPr>
      </w:pPr>
    </w:p>
    <w:p w:rsidR="00080D74" w:rsidRPr="00604964" w:rsidRDefault="00604964" w:rsidP="00604964">
      <w:pPr>
        <w:keepNext/>
        <w:jc w:val="center"/>
        <w:rPr>
          <w:rFonts w:ascii="Arial" w:hAnsi="Arial" w:cs="Arial"/>
          <w:b/>
          <w:sz w:val="20"/>
          <w:szCs w:val="20"/>
          <w:lang w:eastAsia="de-DE"/>
        </w:rPr>
      </w:pPr>
      <w:r w:rsidRPr="00604964">
        <w:rPr>
          <w:rFonts w:ascii="Arial" w:hAnsi="Arial" w:cs="Arial"/>
          <w:b/>
          <w:sz w:val="20"/>
          <w:szCs w:val="20"/>
          <w:lang w:eastAsia="de-DE"/>
        </w:rPr>
        <w:t>IX.</w:t>
      </w:r>
    </w:p>
    <w:p w:rsidR="00604964" w:rsidRPr="00604964" w:rsidRDefault="00604964" w:rsidP="00604964">
      <w:pPr>
        <w:keepNext/>
        <w:jc w:val="center"/>
        <w:rPr>
          <w:rFonts w:ascii="Arial" w:hAnsi="Arial" w:cs="Arial"/>
          <w:b/>
          <w:sz w:val="20"/>
          <w:szCs w:val="20"/>
          <w:lang w:eastAsia="de-DE"/>
        </w:rPr>
      </w:pPr>
      <w:r w:rsidRPr="00604964">
        <w:rPr>
          <w:rFonts w:ascii="Arial" w:hAnsi="Arial" w:cs="Arial"/>
          <w:b/>
          <w:sz w:val="20"/>
          <w:szCs w:val="20"/>
          <w:lang w:eastAsia="de-DE"/>
        </w:rPr>
        <w:t>Erkrankung während eines Arbeitstages, Beweiswert AU-Bescheinigung</w:t>
      </w:r>
    </w:p>
    <w:p w:rsidR="00080D74" w:rsidRPr="00604964" w:rsidRDefault="00080D74" w:rsidP="00604964">
      <w:pPr>
        <w:jc w:val="center"/>
        <w:rPr>
          <w:rFonts w:ascii="Arial" w:hAnsi="Arial" w:cs="Arial"/>
          <w:bCs/>
          <w:sz w:val="20"/>
          <w:szCs w:val="20"/>
        </w:rPr>
      </w:pPr>
      <w:r w:rsidRPr="00604964">
        <w:rPr>
          <w:rFonts w:ascii="Arial" w:hAnsi="Arial" w:cs="Arial"/>
          <w:bCs/>
          <w:sz w:val="20"/>
          <w:szCs w:val="20"/>
        </w:rPr>
        <w:t>L</w:t>
      </w:r>
      <w:r w:rsidR="00604964" w:rsidRPr="00604964">
        <w:rPr>
          <w:rFonts w:ascii="Arial" w:hAnsi="Arial" w:cs="Arial"/>
          <w:bCs/>
          <w:sz w:val="20"/>
          <w:szCs w:val="20"/>
        </w:rPr>
        <w:t xml:space="preserve">AG </w:t>
      </w:r>
      <w:r w:rsidRPr="00604964">
        <w:rPr>
          <w:rFonts w:ascii="Arial" w:hAnsi="Arial" w:cs="Arial"/>
          <w:bCs/>
          <w:sz w:val="20"/>
          <w:szCs w:val="20"/>
        </w:rPr>
        <w:t>Köln</w:t>
      </w:r>
      <w:r w:rsidR="00604964" w:rsidRPr="00604964">
        <w:rPr>
          <w:rFonts w:ascii="Arial" w:hAnsi="Arial" w:cs="Arial"/>
          <w:bCs/>
          <w:sz w:val="20"/>
          <w:szCs w:val="20"/>
        </w:rPr>
        <w:t xml:space="preserve">, </w:t>
      </w:r>
      <w:r w:rsidRPr="00604964">
        <w:rPr>
          <w:rFonts w:ascii="Arial" w:hAnsi="Arial" w:cs="Arial"/>
          <w:bCs/>
          <w:sz w:val="20"/>
          <w:szCs w:val="20"/>
        </w:rPr>
        <w:t>Urteil vom 12.01.2018 - 4 Sa 290/17</w:t>
      </w:r>
    </w:p>
    <w:p w:rsidR="00604964" w:rsidRPr="00604964" w:rsidRDefault="00604964" w:rsidP="00604964">
      <w:pPr>
        <w:jc w:val="center"/>
        <w:rPr>
          <w:rFonts w:ascii="Arial" w:hAnsi="Arial" w:cs="Arial"/>
          <w:bCs/>
          <w:sz w:val="20"/>
          <w:szCs w:val="20"/>
        </w:rPr>
      </w:pPr>
    </w:p>
    <w:p w:rsidR="00080D74" w:rsidRPr="00604964" w:rsidRDefault="00080D74" w:rsidP="00604964">
      <w:pPr>
        <w:pStyle w:val="Listenabsatz"/>
        <w:numPr>
          <w:ilvl w:val="0"/>
          <w:numId w:val="2"/>
        </w:numPr>
        <w:jc w:val="both"/>
        <w:rPr>
          <w:rFonts w:ascii="Arial" w:hAnsi="Arial" w:cs="Arial"/>
          <w:sz w:val="20"/>
          <w:szCs w:val="20"/>
          <w:lang w:eastAsia="de-DE"/>
        </w:rPr>
      </w:pPr>
      <w:r w:rsidRPr="00604964">
        <w:rPr>
          <w:rFonts w:ascii="Arial" w:hAnsi="Arial" w:cs="Arial"/>
          <w:sz w:val="20"/>
          <w:szCs w:val="20"/>
          <w:lang w:eastAsia="de-DE"/>
        </w:rPr>
        <w:t>Ein Arbeitnehmer, der während eines Arbeitstages erkrankt, erhält für den gesamten Arbeitstag die Vergütung gemäß § 611 BGB und keine Entgeltfortzahlung gemäß § 3 Abs. 1 EFZG (BAG, Urteil vom 26.02.2003 – 5 AZHR 112/02 –).</w:t>
      </w:r>
    </w:p>
    <w:p w:rsidR="00080D74" w:rsidRPr="00604964" w:rsidRDefault="00080D74" w:rsidP="00604964">
      <w:pPr>
        <w:pStyle w:val="Listenabsatz"/>
        <w:jc w:val="both"/>
        <w:rPr>
          <w:rFonts w:ascii="Arial" w:hAnsi="Arial" w:cs="Arial"/>
          <w:sz w:val="20"/>
          <w:szCs w:val="20"/>
          <w:lang w:eastAsia="de-DE"/>
        </w:rPr>
      </w:pPr>
    </w:p>
    <w:p w:rsidR="00080D74" w:rsidRPr="00604964" w:rsidRDefault="00080D74" w:rsidP="00604964">
      <w:pPr>
        <w:pStyle w:val="Listenabsatz"/>
        <w:numPr>
          <w:ilvl w:val="0"/>
          <w:numId w:val="2"/>
        </w:numPr>
        <w:jc w:val="both"/>
        <w:rPr>
          <w:rFonts w:ascii="Arial" w:hAnsi="Arial" w:cs="Arial"/>
          <w:sz w:val="20"/>
          <w:szCs w:val="20"/>
          <w:lang w:eastAsia="de-DE"/>
        </w:rPr>
      </w:pPr>
      <w:r w:rsidRPr="00604964">
        <w:rPr>
          <w:rFonts w:ascii="Arial" w:hAnsi="Arial" w:cs="Arial"/>
          <w:sz w:val="20"/>
          <w:szCs w:val="20"/>
          <w:lang w:eastAsia="de-DE"/>
        </w:rPr>
        <w:t>Verlässt ein Arbeitnehmer nach einer Auseinandersetzung mit seinem Vorgesetzten unter Hinweis auf eine Erkrankung seinen Arbeitsplatz, so kann dies allein den hohen Beweiswert der anschließend ausgestellten Arbeitsunfähigkeitsbescheinigung nicht erschüttern.</w:t>
      </w:r>
    </w:p>
    <w:p w:rsidR="00080D74" w:rsidRPr="00604964" w:rsidRDefault="00080D74" w:rsidP="00604964">
      <w:pPr>
        <w:jc w:val="both"/>
        <w:rPr>
          <w:rFonts w:ascii="Arial" w:hAnsi="Arial" w:cs="Arial"/>
          <w:bCs/>
          <w:sz w:val="20"/>
          <w:szCs w:val="20"/>
          <w:lang w:eastAsia="de-DE"/>
        </w:rPr>
      </w:pPr>
    </w:p>
    <w:p w:rsidR="00080D74" w:rsidRPr="00604964" w:rsidRDefault="00080D74" w:rsidP="00604964">
      <w:pPr>
        <w:jc w:val="both"/>
        <w:rPr>
          <w:rFonts w:ascii="Arial" w:hAnsi="Arial" w:cs="Arial"/>
          <w:b/>
          <w:bCs/>
          <w:color w:val="002060"/>
          <w:sz w:val="16"/>
          <w:szCs w:val="16"/>
          <w:u w:val="single"/>
          <w:lang w:eastAsia="de-DE"/>
        </w:rPr>
      </w:pPr>
      <w:r w:rsidRPr="00604964">
        <w:rPr>
          <w:rFonts w:ascii="Arial" w:hAnsi="Arial" w:cs="Arial"/>
          <w:b/>
          <w:bCs/>
          <w:color w:val="002060"/>
          <w:sz w:val="16"/>
          <w:szCs w:val="16"/>
          <w:u w:val="single"/>
          <w:lang w:eastAsia="de-DE"/>
        </w:rPr>
        <w:t>Siehe:</w:t>
      </w:r>
    </w:p>
    <w:p w:rsidR="00080D74" w:rsidRPr="00604964" w:rsidRDefault="00080D74" w:rsidP="00604964">
      <w:pPr>
        <w:rPr>
          <w:rFonts w:ascii="Arial" w:hAnsi="Arial" w:cs="Arial"/>
          <w:sz w:val="16"/>
          <w:szCs w:val="16"/>
          <w:lang w:eastAsia="de-DE"/>
        </w:rPr>
      </w:pPr>
      <w:hyperlink r:id="rId14" w:history="1">
        <w:r w:rsidRPr="00604964">
          <w:rPr>
            <w:rStyle w:val="Hyperlink"/>
            <w:rFonts w:ascii="Arial" w:hAnsi="Arial" w:cs="Arial"/>
            <w:sz w:val="16"/>
            <w:szCs w:val="16"/>
            <w:lang w:eastAsia="de-DE"/>
          </w:rPr>
          <w:t>https://www.justiz.nrw.de/nrwe/arbgs/koeln/lag_koeln/j2018/4_Sa_290_17_Urteil_20180112.html</w:t>
        </w:r>
      </w:hyperlink>
    </w:p>
    <w:p w:rsidR="00080D74" w:rsidRPr="00604964" w:rsidRDefault="00080D74" w:rsidP="00604964">
      <w:pPr>
        <w:rPr>
          <w:rFonts w:ascii="Arial" w:hAnsi="Arial" w:cs="Arial"/>
          <w:sz w:val="20"/>
          <w:szCs w:val="20"/>
          <w:lang w:eastAsia="de-DE"/>
        </w:rPr>
      </w:pPr>
    </w:p>
    <w:p w:rsidR="00080D74" w:rsidRPr="00604964" w:rsidRDefault="00604964" w:rsidP="00604964">
      <w:pPr>
        <w:keepNext/>
        <w:jc w:val="center"/>
        <w:rPr>
          <w:rFonts w:ascii="Arial" w:hAnsi="Arial" w:cs="Arial"/>
          <w:b/>
          <w:sz w:val="20"/>
          <w:szCs w:val="20"/>
          <w:lang w:eastAsia="de-DE"/>
        </w:rPr>
      </w:pPr>
      <w:r w:rsidRPr="00604964">
        <w:rPr>
          <w:rFonts w:ascii="Arial" w:hAnsi="Arial" w:cs="Arial"/>
          <w:b/>
          <w:sz w:val="20"/>
          <w:szCs w:val="20"/>
          <w:lang w:eastAsia="de-DE"/>
        </w:rPr>
        <w:t>X.</w:t>
      </w:r>
    </w:p>
    <w:p w:rsidR="00604964" w:rsidRPr="00604964" w:rsidRDefault="00604964" w:rsidP="00604964">
      <w:pPr>
        <w:keepNext/>
        <w:jc w:val="center"/>
        <w:rPr>
          <w:rFonts w:ascii="Arial" w:hAnsi="Arial" w:cs="Arial"/>
          <w:b/>
          <w:sz w:val="20"/>
          <w:szCs w:val="20"/>
          <w:lang w:eastAsia="de-DE"/>
        </w:rPr>
      </w:pPr>
      <w:r w:rsidRPr="00604964">
        <w:rPr>
          <w:rFonts w:ascii="Arial" w:hAnsi="Arial" w:cs="Arial"/>
          <w:b/>
          <w:sz w:val="20"/>
          <w:szCs w:val="20"/>
          <w:lang w:eastAsia="de-DE"/>
        </w:rPr>
        <w:t>Einschlägige Berufserfahrung iSd. § 18 Abs. 5 TV-BA</w:t>
      </w:r>
    </w:p>
    <w:p w:rsidR="00080D74" w:rsidRPr="00604964" w:rsidRDefault="00080D74" w:rsidP="00604964">
      <w:pPr>
        <w:jc w:val="center"/>
        <w:rPr>
          <w:rFonts w:ascii="Arial" w:hAnsi="Arial" w:cs="Arial"/>
          <w:bCs/>
          <w:sz w:val="20"/>
          <w:szCs w:val="20"/>
        </w:rPr>
      </w:pPr>
      <w:r w:rsidRPr="00604964">
        <w:rPr>
          <w:rFonts w:ascii="Arial" w:hAnsi="Arial" w:cs="Arial"/>
          <w:bCs/>
          <w:sz w:val="20"/>
          <w:szCs w:val="20"/>
        </w:rPr>
        <w:t>L</w:t>
      </w:r>
      <w:r w:rsidR="00604964" w:rsidRPr="00604964">
        <w:rPr>
          <w:rFonts w:ascii="Arial" w:hAnsi="Arial" w:cs="Arial"/>
          <w:bCs/>
          <w:sz w:val="20"/>
          <w:szCs w:val="20"/>
        </w:rPr>
        <w:t>AG</w:t>
      </w:r>
      <w:r w:rsidRPr="00604964">
        <w:rPr>
          <w:rFonts w:ascii="Arial" w:hAnsi="Arial" w:cs="Arial"/>
          <w:bCs/>
          <w:sz w:val="20"/>
          <w:szCs w:val="20"/>
        </w:rPr>
        <w:t xml:space="preserve"> Hamm</w:t>
      </w:r>
      <w:r w:rsidR="00604964" w:rsidRPr="00604964">
        <w:rPr>
          <w:rFonts w:ascii="Arial" w:hAnsi="Arial" w:cs="Arial"/>
          <w:bCs/>
          <w:sz w:val="20"/>
          <w:szCs w:val="20"/>
        </w:rPr>
        <w:t>, Urteil vom 24.01.2018, Az.</w:t>
      </w:r>
      <w:r w:rsidRPr="00604964">
        <w:rPr>
          <w:rFonts w:ascii="Arial" w:hAnsi="Arial" w:cs="Arial"/>
          <w:bCs/>
          <w:sz w:val="20"/>
          <w:szCs w:val="20"/>
        </w:rPr>
        <w:t xml:space="preserve"> 6 Sa 1435/17</w:t>
      </w:r>
    </w:p>
    <w:p w:rsidR="00080D74" w:rsidRPr="00604964" w:rsidRDefault="00080D74" w:rsidP="00604964">
      <w:pPr>
        <w:jc w:val="both"/>
        <w:rPr>
          <w:rFonts w:ascii="Arial" w:hAnsi="Arial" w:cs="Arial"/>
          <w:sz w:val="20"/>
          <w:szCs w:val="20"/>
          <w:lang w:eastAsia="de-DE"/>
        </w:rPr>
      </w:pPr>
    </w:p>
    <w:p w:rsidR="00080D74" w:rsidRPr="00604964" w:rsidRDefault="00080D74" w:rsidP="00604964">
      <w:pPr>
        <w:jc w:val="both"/>
        <w:rPr>
          <w:rFonts w:ascii="Arial" w:hAnsi="Arial" w:cs="Arial"/>
          <w:sz w:val="20"/>
          <w:szCs w:val="20"/>
          <w:lang w:eastAsia="de-DE"/>
        </w:rPr>
      </w:pPr>
      <w:r w:rsidRPr="00604964">
        <w:rPr>
          <w:rFonts w:ascii="Arial" w:hAnsi="Arial" w:cs="Arial"/>
          <w:sz w:val="20"/>
          <w:szCs w:val="20"/>
          <w:lang w:eastAsia="de-DE"/>
        </w:rPr>
        <w:t>"Einschlägige Berufserfahrung" iSd. § 18 Abs. 5 TV-BA liegt hinsichtlich einer früheren Tätigkeit des Arbeitnehmers bei einem anderen Arbeitgeber nur dann vor, wenn die im Rahmen der früheren Tätigkeit übertragenen Aufgaben mit den durch die BA für die im fraglichen Arbeitsverhältnis auszuübende Tätigkeit in einem Tätigkeits- und Kompetenzprofil festgelegten Kernaufgaben vergleichbar ist. Dabei ist der Inhalt der Tätigkeit und nicht lediglich die Art der Ausübung maßgeblich.</w:t>
      </w:r>
    </w:p>
    <w:p w:rsidR="00080D74" w:rsidRPr="00604964" w:rsidRDefault="00080D74" w:rsidP="00604964">
      <w:pPr>
        <w:jc w:val="both"/>
        <w:rPr>
          <w:rFonts w:ascii="Arial" w:hAnsi="Arial" w:cs="Arial"/>
          <w:b/>
          <w:bCs/>
          <w:sz w:val="20"/>
          <w:szCs w:val="20"/>
          <w:u w:val="single"/>
          <w:lang w:eastAsia="de-DE"/>
        </w:rPr>
      </w:pPr>
    </w:p>
    <w:p w:rsidR="00080D74" w:rsidRPr="00604964" w:rsidRDefault="00080D74" w:rsidP="00604964">
      <w:pPr>
        <w:jc w:val="both"/>
        <w:rPr>
          <w:rFonts w:ascii="Arial" w:hAnsi="Arial" w:cs="Arial"/>
          <w:b/>
          <w:bCs/>
          <w:color w:val="002060"/>
          <w:sz w:val="16"/>
          <w:szCs w:val="16"/>
          <w:u w:val="single"/>
          <w:lang w:eastAsia="de-DE"/>
        </w:rPr>
      </w:pPr>
      <w:r w:rsidRPr="00604964">
        <w:rPr>
          <w:rFonts w:ascii="Arial" w:hAnsi="Arial" w:cs="Arial"/>
          <w:b/>
          <w:bCs/>
          <w:color w:val="002060"/>
          <w:sz w:val="16"/>
          <w:szCs w:val="16"/>
          <w:u w:val="single"/>
          <w:lang w:eastAsia="de-DE"/>
        </w:rPr>
        <w:t>Siehe:</w:t>
      </w:r>
    </w:p>
    <w:p w:rsidR="00080D74" w:rsidRPr="00604964" w:rsidRDefault="00080D74" w:rsidP="00604964">
      <w:pPr>
        <w:rPr>
          <w:rFonts w:ascii="Arial" w:hAnsi="Arial" w:cs="Arial"/>
          <w:sz w:val="16"/>
          <w:szCs w:val="16"/>
          <w:lang w:eastAsia="de-DE"/>
        </w:rPr>
      </w:pPr>
      <w:hyperlink r:id="rId15" w:history="1">
        <w:r w:rsidRPr="00604964">
          <w:rPr>
            <w:rStyle w:val="Hyperlink"/>
            <w:rFonts w:ascii="Arial" w:hAnsi="Arial" w:cs="Arial"/>
            <w:sz w:val="16"/>
            <w:szCs w:val="16"/>
            <w:lang w:eastAsia="de-DE"/>
          </w:rPr>
          <w:t>https://www.justiz.nrw.de/nrwe/arbgs/hamm/lag_hamm/j2018/6_Sa_1435_17_Urteil_20180124.html</w:t>
        </w:r>
      </w:hyperlink>
    </w:p>
    <w:p w:rsidR="00080D74" w:rsidRPr="00604964" w:rsidRDefault="00080D74" w:rsidP="00604964">
      <w:pPr>
        <w:rPr>
          <w:rFonts w:ascii="Arial" w:hAnsi="Arial" w:cs="Arial"/>
          <w:sz w:val="20"/>
          <w:szCs w:val="20"/>
          <w:lang w:eastAsia="de-DE"/>
        </w:rPr>
      </w:pPr>
    </w:p>
    <w:p w:rsidR="00080D74" w:rsidRPr="00604964" w:rsidRDefault="00604964" w:rsidP="00604964">
      <w:pPr>
        <w:keepNext/>
        <w:jc w:val="center"/>
        <w:rPr>
          <w:rFonts w:ascii="Arial" w:hAnsi="Arial" w:cs="Arial"/>
          <w:b/>
          <w:sz w:val="20"/>
          <w:szCs w:val="20"/>
          <w:lang w:eastAsia="de-DE"/>
        </w:rPr>
      </w:pPr>
      <w:r w:rsidRPr="00604964">
        <w:rPr>
          <w:rFonts w:ascii="Arial" w:hAnsi="Arial" w:cs="Arial"/>
          <w:b/>
          <w:sz w:val="20"/>
          <w:szCs w:val="20"/>
          <w:lang w:eastAsia="de-DE"/>
        </w:rPr>
        <w:t>XI.</w:t>
      </w:r>
    </w:p>
    <w:p w:rsidR="00080D74" w:rsidRPr="00604964" w:rsidRDefault="00080D74" w:rsidP="00604964">
      <w:pPr>
        <w:jc w:val="center"/>
        <w:rPr>
          <w:rFonts w:ascii="Arial" w:hAnsi="Arial" w:cs="Arial"/>
          <w:bCs/>
          <w:sz w:val="20"/>
          <w:szCs w:val="20"/>
        </w:rPr>
      </w:pPr>
      <w:r w:rsidRPr="00604964">
        <w:rPr>
          <w:rFonts w:ascii="Arial" w:hAnsi="Arial" w:cs="Arial"/>
          <w:bCs/>
          <w:sz w:val="20"/>
          <w:szCs w:val="20"/>
        </w:rPr>
        <w:t>L</w:t>
      </w:r>
      <w:r w:rsidR="00604964" w:rsidRPr="00604964">
        <w:rPr>
          <w:rFonts w:ascii="Arial" w:hAnsi="Arial" w:cs="Arial"/>
          <w:bCs/>
          <w:sz w:val="20"/>
          <w:szCs w:val="20"/>
        </w:rPr>
        <w:t>AG</w:t>
      </w:r>
      <w:r w:rsidRPr="00604964">
        <w:rPr>
          <w:rFonts w:ascii="Arial" w:hAnsi="Arial" w:cs="Arial"/>
          <w:bCs/>
          <w:sz w:val="20"/>
          <w:szCs w:val="20"/>
        </w:rPr>
        <w:t xml:space="preserve"> Hamm</w:t>
      </w:r>
      <w:r w:rsidR="00604964" w:rsidRPr="00604964">
        <w:rPr>
          <w:rFonts w:ascii="Arial" w:hAnsi="Arial" w:cs="Arial"/>
          <w:bCs/>
          <w:sz w:val="20"/>
          <w:szCs w:val="20"/>
        </w:rPr>
        <w:t xml:space="preserve">, </w:t>
      </w:r>
      <w:r w:rsidRPr="00604964">
        <w:rPr>
          <w:rFonts w:ascii="Arial" w:hAnsi="Arial" w:cs="Arial"/>
          <w:bCs/>
          <w:sz w:val="20"/>
          <w:szCs w:val="20"/>
        </w:rPr>
        <w:t>Urteil vom 16.02.2018 - 1 Sa 1476/17</w:t>
      </w:r>
    </w:p>
    <w:p w:rsidR="00080D74" w:rsidRPr="005C1CB2" w:rsidRDefault="00080D74" w:rsidP="00604964">
      <w:pPr>
        <w:jc w:val="both"/>
        <w:rPr>
          <w:rFonts w:ascii="Arial" w:hAnsi="Arial" w:cs="Arial"/>
          <w:bCs/>
          <w:sz w:val="20"/>
          <w:szCs w:val="20"/>
          <w:lang w:eastAsia="de-DE"/>
        </w:rPr>
      </w:pPr>
    </w:p>
    <w:p w:rsidR="00080D74" w:rsidRPr="00604964" w:rsidRDefault="00080D74" w:rsidP="00604964">
      <w:pPr>
        <w:jc w:val="both"/>
        <w:rPr>
          <w:rFonts w:ascii="Arial" w:hAnsi="Arial" w:cs="Arial"/>
          <w:sz w:val="20"/>
          <w:szCs w:val="20"/>
          <w:lang w:eastAsia="de-DE"/>
        </w:rPr>
      </w:pPr>
      <w:r w:rsidRPr="00604964">
        <w:rPr>
          <w:rFonts w:ascii="Arial" w:hAnsi="Arial" w:cs="Arial"/>
          <w:sz w:val="20"/>
          <w:szCs w:val="20"/>
          <w:lang w:eastAsia="de-DE"/>
        </w:rPr>
        <w:t>Vereinbaren Ausbilder und Auszubildender vor Abschluss des Berufsausbildungsverhältnisses ein sachgrundlos befristetes Anschlussarbeitsverhältnis, das „nach erfolgreichem Abschluss der Ausbildung“ beginnen soll, so beginnt das Arbeitsverhältnis nach allgemeinen Auslegungsgrundsätzen trotz der Fiktion einer Beendigung des Ausbildungsverhältnisses in § 21 Abs. 2 BBiG in dem Moment der Bekanntgabe des Prüfungsergebnisses regelmäßig erst am Tag, der auf die Beendigung des Ausbildungsverhältnisses folgt.</w:t>
      </w:r>
    </w:p>
    <w:p w:rsidR="00080D74" w:rsidRPr="005C1CB2" w:rsidRDefault="00080D74" w:rsidP="00604964">
      <w:pPr>
        <w:jc w:val="both"/>
        <w:rPr>
          <w:rFonts w:ascii="Arial" w:hAnsi="Arial" w:cs="Arial"/>
          <w:bCs/>
          <w:sz w:val="20"/>
          <w:szCs w:val="20"/>
          <w:lang w:eastAsia="de-DE"/>
        </w:rPr>
      </w:pPr>
    </w:p>
    <w:p w:rsidR="00080D74" w:rsidRPr="00604964" w:rsidRDefault="00080D74" w:rsidP="00604964">
      <w:pPr>
        <w:jc w:val="both"/>
        <w:rPr>
          <w:rFonts w:ascii="Arial" w:hAnsi="Arial" w:cs="Arial"/>
          <w:b/>
          <w:bCs/>
          <w:color w:val="002060"/>
          <w:sz w:val="16"/>
          <w:szCs w:val="16"/>
          <w:u w:val="single"/>
          <w:lang w:eastAsia="de-DE"/>
        </w:rPr>
      </w:pPr>
      <w:r w:rsidRPr="00604964">
        <w:rPr>
          <w:rFonts w:ascii="Arial" w:hAnsi="Arial" w:cs="Arial"/>
          <w:b/>
          <w:bCs/>
          <w:color w:val="002060"/>
          <w:sz w:val="16"/>
          <w:szCs w:val="16"/>
          <w:u w:val="single"/>
          <w:lang w:eastAsia="de-DE"/>
        </w:rPr>
        <w:t>Siehe:</w:t>
      </w:r>
    </w:p>
    <w:p w:rsidR="00080D74" w:rsidRPr="00604964" w:rsidRDefault="00080D74" w:rsidP="00604964">
      <w:pPr>
        <w:rPr>
          <w:rFonts w:ascii="Arial" w:hAnsi="Arial" w:cs="Arial"/>
          <w:sz w:val="16"/>
          <w:szCs w:val="16"/>
          <w:lang w:eastAsia="de-DE"/>
        </w:rPr>
      </w:pPr>
      <w:hyperlink r:id="rId16" w:history="1">
        <w:r w:rsidRPr="00604964">
          <w:rPr>
            <w:rStyle w:val="Hyperlink"/>
            <w:rFonts w:ascii="Arial" w:hAnsi="Arial" w:cs="Arial"/>
            <w:sz w:val="16"/>
            <w:szCs w:val="16"/>
            <w:lang w:eastAsia="de-DE"/>
          </w:rPr>
          <w:t>https://www.justiz.nrw.de/nrwe/arbgs/hamm/lag_hamm/j2018/1_Sa_1476_17_Urteil_20180216.html</w:t>
        </w:r>
      </w:hyperlink>
    </w:p>
    <w:p w:rsidR="00080D74" w:rsidRPr="00604964" w:rsidRDefault="00080D74" w:rsidP="00604964">
      <w:pPr>
        <w:rPr>
          <w:rFonts w:ascii="Arial" w:hAnsi="Arial" w:cs="Arial"/>
          <w:sz w:val="20"/>
          <w:szCs w:val="20"/>
          <w:lang w:eastAsia="de-DE"/>
        </w:rPr>
      </w:pPr>
    </w:p>
    <w:p w:rsidR="00080D74" w:rsidRPr="00604964" w:rsidRDefault="00604964" w:rsidP="00604964">
      <w:pPr>
        <w:keepNext/>
        <w:jc w:val="center"/>
        <w:rPr>
          <w:rFonts w:ascii="Arial" w:hAnsi="Arial" w:cs="Arial"/>
          <w:b/>
          <w:sz w:val="20"/>
          <w:szCs w:val="20"/>
          <w:lang w:eastAsia="de-DE"/>
        </w:rPr>
      </w:pPr>
      <w:r w:rsidRPr="00604964">
        <w:rPr>
          <w:rFonts w:ascii="Arial" w:hAnsi="Arial" w:cs="Arial"/>
          <w:b/>
          <w:sz w:val="20"/>
          <w:szCs w:val="20"/>
          <w:lang w:eastAsia="de-DE"/>
        </w:rPr>
        <w:t>XII.</w:t>
      </w:r>
    </w:p>
    <w:p w:rsidR="00604964" w:rsidRPr="00604964" w:rsidRDefault="00604964" w:rsidP="00604964">
      <w:pPr>
        <w:keepNext/>
        <w:jc w:val="center"/>
        <w:rPr>
          <w:rFonts w:ascii="Arial" w:hAnsi="Arial" w:cs="Arial"/>
          <w:b/>
          <w:sz w:val="20"/>
          <w:szCs w:val="20"/>
          <w:lang w:eastAsia="de-DE"/>
        </w:rPr>
      </w:pPr>
      <w:r w:rsidRPr="00604964">
        <w:rPr>
          <w:rFonts w:ascii="Arial" w:hAnsi="Arial" w:cs="Arial"/>
          <w:b/>
          <w:sz w:val="20"/>
          <w:szCs w:val="20"/>
          <w:lang w:eastAsia="de-DE"/>
        </w:rPr>
        <w:t>nachvertragliches Wettbewerbsverbot</w:t>
      </w:r>
    </w:p>
    <w:p w:rsidR="00080D74" w:rsidRPr="00604964" w:rsidRDefault="00080D74" w:rsidP="00604964">
      <w:pPr>
        <w:jc w:val="center"/>
        <w:rPr>
          <w:rFonts w:ascii="Arial" w:hAnsi="Arial" w:cs="Arial"/>
          <w:bCs/>
          <w:sz w:val="20"/>
          <w:szCs w:val="20"/>
        </w:rPr>
      </w:pPr>
      <w:r w:rsidRPr="00604964">
        <w:rPr>
          <w:rFonts w:ascii="Arial" w:hAnsi="Arial" w:cs="Arial"/>
          <w:bCs/>
          <w:sz w:val="20"/>
          <w:szCs w:val="20"/>
        </w:rPr>
        <w:t>L</w:t>
      </w:r>
      <w:r w:rsidR="00604964" w:rsidRPr="00604964">
        <w:rPr>
          <w:rFonts w:ascii="Arial" w:hAnsi="Arial" w:cs="Arial"/>
          <w:bCs/>
          <w:sz w:val="20"/>
          <w:szCs w:val="20"/>
        </w:rPr>
        <w:t>AG</w:t>
      </w:r>
      <w:r w:rsidRPr="00604964">
        <w:rPr>
          <w:rFonts w:ascii="Arial" w:hAnsi="Arial" w:cs="Arial"/>
          <w:bCs/>
          <w:sz w:val="20"/>
          <w:szCs w:val="20"/>
        </w:rPr>
        <w:t xml:space="preserve"> Düsseldorf</w:t>
      </w:r>
      <w:r w:rsidR="00604964" w:rsidRPr="00604964">
        <w:rPr>
          <w:rFonts w:ascii="Arial" w:hAnsi="Arial" w:cs="Arial"/>
          <w:bCs/>
          <w:sz w:val="20"/>
          <w:szCs w:val="20"/>
        </w:rPr>
        <w:t xml:space="preserve">, </w:t>
      </w:r>
      <w:r w:rsidRPr="00604964">
        <w:rPr>
          <w:rFonts w:ascii="Arial" w:hAnsi="Arial" w:cs="Arial"/>
          <w:bCs/>
          <w:sz w:val="20"/>
          <w:szCs w:val="20"/>
        </w:rPr>
        <w:t>Urteil vom 10.01.2018 - 7 Sa 185/17</w:t>
      </w:r>
    </w:p>
    <w:p w:rsidR="00080D74" w:rsidRPr="005C1CB2" w:rsidRDefault="00080D74" w:rsidP="00080D74">
      <w:pPr>
        <w:jc w:val="both"/>
        <w:rPr>
          <w:rFonts w:ascii="Arial" w:hAnsi="Arial" w:cs="Arial"/>
          <w:bCs/>
          <w:sz w:val="20"/>
          <w:szCs w:val="20"/>
          <w:lang w:eastAsia="de-DE"/>
        </w:rPr>
      </w:pPr>
    </w:p>
    <w:p w:rsidR="00080D74" w:rsidRPr="00604964" w:rsidRDefault="00080D74" w:rsidP="00080D74">
      <w:pPr>
        <w:jc w:val="both"/>
        <w:rPr>
          <w:rFonts w:ascii="Arial" w:hAnsi="Arial" w:cs="Arial"/>
          <w:sz w:val="20"/>
          <w:szCs w:val="20"/>
          <w:lang w:eastAsia="de-DE"/>
        </w:rPr>
      </w:pPr>
      <w:r w:rsidRPr="00604964">
        <w:rPr>
          <w:rFonts w:ascii="Arial" w:hAnsi="Arial" w:cs="Arial"/>
          <w:sz w:val="20"/>
          <w:szCs w:val="20"/>
          <w:lang w:eastAsia="de-DE"/>
        </w:rPr>
        <w:t>Ein Vorvertrag, durch den sich der Arbeitnehmer zum Abschluss eines nachvertraglichen Wettbewerbsverbots auf Verlangen des Arbeitgebers verpflichtet, ist jedenfalls dann zulässig, wenn die dem Arbeitgeber eingeräumte Option auf den Zeitraum bis zum Ausspruch einer Kündigung durch den Arbeitgeber oder den Arbeitnehmer oder bis zum Abschluss eines Aufhebungsvertrages beschränkt wird.</w:t>
      </w:r>
    </w:p>
    <w:p w:rsidR="00080D74" w:rsidRPr="005C1CB2" w:rsidRDefault="00080D74" w:rsidP="00080D74">
      <w:pPr>
        <w:jc w:val="both"/>
        <w:rPr>
          <w:rFonts w:ascii="Arial" w:hAnsi="Arial" w:cs="Arial"/>
          <w:bCs/>
          <w:sz w:val="20"/>
          <w:szCs w:val="20"/>
          <w:lang w:eastAsia="de-DE"/>
        </w:rPr>
      </w:pPr>
    </w:p>
    <w:p w:rsidR="00080D74" w:rsidRPr="00604964" w:rsidRDefault="00080D74" w:rsidP="00080D74">
      <w:pPr>
        <w:jc w:val="both"/>
        <w:rPr>
          <w:rFonts w:ascii="Arial" w:hAnsi="Arial" w:cs="Arial"/>
          <w:b/>
          <w:bCs/>
          <w:color w:val="002060"/>
          <w:sz w:val="16"/>
          <w:szCs w:val="16"/>
          <w:u w:val="single"/>
          <w:lang w:eastAsia="de-DE"/>
        </w:rPr>
      </w:pPr>
      <w:r w:rsidRPr="00604964">
        <w:rPr>
          <w:rFonts w:ascii="Arial" w:hAnsi="Arial" w:cs="Arial"/>
          <w:b/>
          <w:bCs/>
          <w:color w:val="002060"/>
          <w:sz w:val="16"/>
          <w:szCs w:val="16"/>
          <w:u w:val="single"/>
          <w:lang w:eastAsia="de-DE"/>
        </w:rPr>
        <w:t>Siehe:</w:t>
      </w:r>
    </w:p>
    <w:p w:rsidR="00080D74" w:rsidRDefault="00080D74" w:rsidP="00080D74">
      <w:pPr>
        <w:rPr>
          <w:rFonts w:ascii="Arial" w:hAnsi="Arial" w:cs="Arial"/>
          <w:sz w:val="20"/>
          <w:szCs w:val="20"/>
          <w:lang w:eastAsia="de-DE"/>
        </w:rPr>
      </w:pPr>
      <w:hyperlink r:id="rId17" w:history="1">
        <w:r w:rsidRPr="00604964">
          <w:rPr>
            <w:rStyle w:val="Hyperlink"/>
            <w:rFonts w:ascii="Arial" w:hAnsi="Arial" w:cs="Arial"/>
            <w:sz w:val="16"/>
            <w:szCs w:val="16"/>
            <w:lang w:eastAsia="de-DE"/>
          </w:rPr>
          <w:t>https://www.justiz.nrw.de/nrwe/arbgs/duesseldorf/lag_duesseldorf/j2018/NRWE_LAG_D_sseldorf_7_Sa_185_17_Urteil_20180110.html</w:t>
        </w:r>
      </w:hyperlink>
    </w:p>
    <w:p w:rsidR="00080D74" w:rsidRDefault="00080D74" w:rsidP="00080D74">
      <w:pPr>
        <w:rPr>
          <w:rFonts w:ascii="Arial" w:hAnsi="Arial" w:cs="Arial"/>
          <w:sz w:val="20"/>
          <w:szCs w:val="20"/>
          <w:lang w:eastAsia="de-DE"/>
        </w:rPr>
      </w:pPr>
    </w:p>
    <w:p w:rsidR="00080D74" w:rsidRPr="005C1CB2" w:rsidRDefault="005C1CB2" w:rsidP="005C1CB2">
      <w:pPr>
        <w:jc w:val="center"/>
        <w:rPr>
          <w:rFonts w:ascii="Arial" w:hAnsi="Arial" w:cs="Arial"/>
          <w:b/>
          <w:sz w:val="20"/>
          <w:szCs w:val="20"/>
          <w:lang w:eastAsia="de-DE"/>
        </w:rPr>
      </w:pPr>
      <w:r w:rsidRPr="005C1CB2">
        <w:rPr>
          <w:rFonts w:ascii="Arial" w:hAnsi="Arial" w:cs="Arial"/>
          <w:b/>
          <w:sz w:val="20"/>
          <w:szCs w:val="20"/>
          <w:lang w:eastAsia="de-DE"/>
        </w:rPr>
        <w:t>XIII.</w:t>
      </w:r>
    </w:p>
    <w:p w:rsidR="00080D74" w:rsidRPr="005C1CB2" w:rsidRDefault="005C1CB2" w:rsidP="005C1CB2">
      <w:pPr>
        <w:jc w:val="center"/>
        <w:rPr>
          <w:rFonts w:ascii="Arial" w:hAnsi="Arial" w:cs="Arial"/>
          <w:b/>
          <w:sz w:val="20"/>
          <w:szCs w:val="20"/>
          <w:lang w:eastAsia="de-DE"/>
        </w:rPr>
      </w:pPr>
      <w:r w:rsidRPr="005C1CB2">
        <w:rPr>
          <w:rFonts w:ascii="Arial" w:hAnsi="Arial" w:cs="Arial"/>
          <w:b/>
          <w:sz w:val="20"/>
          <w:szCs w:val="20"/>
          <w:lang w:eastAsia="de-DE"/>
        </w:rPr>
        <w:t>Kündigung, personenbedingt, krankheitsbedingt, Erkrankung</w:t>
      </w:r>
      <w:r w:rsidRPr="005C1CB2">
        <w:rPr>
          <w:b/>
        </w:rPr>
        <w:t xml:space="preserve"> </w:t>
      </w:r>
      <w:r w:rsidRPr="005C1CB2">
        <w:rPr>
          <w:rFonts w:ascii="Arial" w:hAnsi="Arial" w:cs="Arial"/>
          <w:b/>
          <w:sz w:val="20"/>
          <w:szCs w:val="20"/>
          <w:lang w:eastAsia="de-DE"/>
        </w:rPr>
        <w:t>langandauernde, Gesundheitsprognose, negative Prognose, Betriebliche Interessen, Beeinträchtigung</w:t>
      </w:r>
    </w:p>
    <w:p w:rsidR="00080D74" w:rsidRDefault="005C1CB2" w:rsidP="005C1CB2">
      <w:pPr>
        <w:jc w:val="center"/>
        <w:rPr>
          <w:rFonts w:ascii="Arial" w:hAnsi="Arial" w:cs="Arial"/>
          <w:sz w:val="20"/>
          <w:szCs w:val="20"/>
          <w:lang w:eastAsia="de-DE"/>
        </w:rPr>
      </w:pPr>
      <w:r w:rsidRPr="005C1CB2">
        <w:rPr>
          <w:rFonts w:ascii="Arial" w:hAnsi="Arial" w:cs="Arial"/>
          <w:sz w:val="20"/>
          <w:szCs w:val="20"/>
          <w:lang w:eastAsia="de-DE"/>
        </w:rPr>
        <w:t>LAG Schleswig-Holstein</w:t>
      </w:r>
      <w:r>
        <w:rPr>
          <w:rFonts w:ascii="Arial" w:hAnsi="Arial" w:cs="Arial"/>
          <w:sz w:val="20"/>
          <w:szCs w:val="20"/>
          <w:lang w:eastAsia="de-DE"/>
        </w:rPr>
        <w:t xml:space="preserve">, Urteil vom 10.01.2018, Az. </w:t>
      </w:r>
      <w:r w:rsidRPr="005C1CB2">
        <w:rPr>
          <w:rFonts w:ascii="Arial" w:hAnsi="Arial" w:cs="Arial"/>
          <w:sz w:val="20"/>
          <w:szCs w:val="20"/>
          <w:lang w:eastAsia="de-DE"/>
        </w:rPr>
        <w:t>6 Sa 220/16</w:t>
      </w:r>
    </w:p>
    <w:p w:rsidR="005C1CB2" w:rsidRDefault="005C1CB2" w:rsidP="00080D74">
      <w:pPr>
        <w:rPr>
          <w:rFonts w:ascii="Arial" w:hAnsi="Arial" w:cs="Arial"/>
          <w:sz w:val="20"/>
          <w:szCs w:val="20"/>
          <w:lang w:eastAsia="de-DE"/>
        </w:rPr>
      </w:pPr>
    </w:p>
    <w:p w:rsidR="00080D74" w:rsidRDefault="005C1CB2" w:rsidP="005C1CB2">
      <w:pPr>
        <w:rPr>
          <w:rFonts w:ascii="Arial" w:hAnsi="Arial" w:cs="Arial"/>
          <w:bCs/>
          <w:sz w:val="20"/>
          <w:szCs w:val="20"/>
          <w:lang w:eastAsia="de-DE"/>
        </w:rPr>
      </w:pPr>
      <w:r w:rsidRPr="005C1CB2">
        <w:rPr>
          <w:rFonts w:ascii="Arial" w:hAnsi="Arial" w:cs="Arial"/>
          <w:bCs/>
          <w:sz w:val="20"/>
          <w:szCs w:val="20"/>
          <w:lang w:eastAsia="de-DE"/>
        </w:rPr>
        <w:t>Die Parteien streiten über die Wirksamkeit einer ordentlichen Kündigung, die wegen langanhaltender Krankheit der Klägerin ausgesprochen wurde.</w:t>
      </w:r>
    </w:p>
    <w:p w:rsidR="005C1CB2" w:rsidRPr="005C1CB2" w:rsidRDefault="005C1CB2" w:rsidP="005C1CB2">
      <w:pPr>
        <w:pStyle w:val="Default"/>
        <w:jc w:val="both"/>
        <w:rPr>
          <w:sz w:val="20"/>
          <w:szCs w:val="20"/>
        </w:rPr>
      </w:pPr>
      <w:r w:rsidRPr="005C1CB2">
        <w:rPr>
          <w:sz w:val="20"/>
          <w:szCs w:val="20"/>
        </w:rPr>
        <w:t xml:space="preserve">Die am ….1973 geborene Klägerin trat Ende Juni 1994 als Operator in die Dienste der Beklagten, die mehrere Hundert Arbeitnehmer beschäftigt. Die Klägerin ist verheiratet und Mutter eines unterhaltsberechtigten Kindes. Auf das Arbeitsverhältnis der Parteien finden die Tarifverträge der Chemischen Industrie kraft einzelvertraglicher Bezugnahme Anwendung. </w:t>
      </w:r>
    </w:p>
    <w:p w:rsidR="005C1CB2" w:rsidRPr="005C1CB2" w:rsidRDefault="005C1CB2" w:rsidP="005C1CB2">
      <w:pPr>
        <w:pStyle w:val="Default"/>
        <w:jc w:val="both"/>
        <w:rPr>
          <w:sz w:val="20"/>
          <w:szCs w:val="20"/>
        </w:rPr>
      </w:pPr>
      <w:r w:rsidRPr="005C1CB2">
        <w:rPr>
          <w:sz w:val="20"/>
          <w:szCs w:val="20"/>
        </w:rPr>
        <w:t xml:space="preserve">Nach ihrer Rückkehr aus der Elternzeit im April 2012 war die Klägerin bis zum Ende des Jahres 2012 an 47 Arbeitstagen arbeitsunfähig krank. Dadurch entstanden der Beklagten Kosten für Lohnfortzahlung und Sozialversicherung in Höhe von 6.335,26 EUR. </w:t>
      </w:r>
    </w:p>
    <w:p w:rsidR="005C1CB2" w:rsidRDefault="005C1CB2" w:rsidP="005C1CB2">
      <w:pPr>
        <w:jc w:val="both"/>
        <w:rPr>
          <w:rFonts w:ascii="Arial" w:hAnsi="Arial" w:cs="Arial"/>
          <w:sz w:val="20"/>
          <w:szCs w:val="20"/>
        </w:rPr>
      </w:pPr>
      <w:r w:rsidRPr="005C1CB2">
        <w:rPr>
          <w:rFonts w:ascii="Arial" w:hAnsi="Arial" w:cs="Arial"/>
          <w:sz w:val="20"/>
          <w:szCs w:val="20"/>
        </w:rPr>
        <w:t>Seit dem 04.02.2013 ist die Klägerin durchgehend arbeitsunfähig krank. Wegen der mittlerweile unstreitigen Fehltage wird auf die Anlage zur Betriebsratsanhörung (Bl. 40 d. A.) verwiesen. Im Jahr 2013 sind der Beklagten infolge der Krankheit der Klägerin Lohnfortzahlungskosten einschließlich Sozialversicherungsbeiträgen in Höhe von 6.005,41 EUR entstanden. Außerdem zahlte die Beklagte der Klägerin einen Zu-schuss zum Krankengeld in Höhe von 1.030,64 EUR. Für den Zeitraum von 2013 bis 2015 entrichtete die Beklagte Beiträge zur betrieblichen Altersversorgung der Klägerin in Höhe von insgesamt 18.601,00 EUR.</w:t>
      </w:r>
    </w:p>
    <w:p w:rsidR="005C1CB2" w:rsidRDefault="005C1CB2" w:rsidP="005C1CB2">
      <w:pPr>
        <w:jc w:val="both"/>
        <w:rPr>
          <w:rFonts w:ascii="Arial" w:hAnsi="Arial" w:cs="Arial"/>
          <w:sz w:val="20"/>
          <w:szCs w:val="20"/>
        </w:rPr>
      </w:pPr>
    </w:p>
    <w:p w:rsidR="0073314B" w:rsidRPr="00604964" w:rsidRDefault="0073314B" w:rsidP="0073314B">
      <w:pPr>
        <w:jc w:val="both"/>
        <w:rPr>
          <w:rFonts w:ascii="Arial" w:hAnsi="Arial" w:cs="Arial"/>
          <w:b/>
          <w:bCs/>
          <w:color w:val="002060"/>
          <w:sz w:val="16"/>
          <w:szCs w:val="16"/>
          <w:u w:val="single"/>
          <w:lang w:eastAsia="de-DE"/>
        </w:rPr>
      </w:pPr>
      <w:r w:rsidRPr="00604964">
        <w:rPr>
          <w:rFonts w:ascii="Arial" w:hAnsi="Arial" w:cs="Arial"/>
          <w:b/>
          <w:bCs/>
          <w:color w:val="002060"/>
          <w:sz w:val="16"/>
          <w:szCs w:val="16"/>
          <w:u w:val="single"/>
          <w:lang w:eastAsia="de-DE"/>
        </w:rPr>
        <w:t>Siehe:</w:t>
      </w:r>
    </w:p>
    <w:p w:rsidR="005C1CB2" w:rsidRPr="005C1CB2" w:rsidRDefault="005C1CB2" w:rsidP="005C1CB2">
      <w:pPr>
        <w:jc w:val="both"/>
        <w:rPr>
          <w:rFonts w:ascii="Arial" w:hAnsi="Arial" w:cs="Arial"/>
          <w:bCs/>
          <w:sz w:val="16"/>
          <w:szCs w:val="16"/>
          <w:lang w:eastAsia="de-DE"/>
        </w:rPr>
      </w:pPr>
      <w:hyperlink r:id="rId18" w:history="1">
        <w:r w:rsidRPr="005C1CB2">
          <w:rPr>
            <w:rStyle w:val="Hyperlink"/>
            <w:rFonts w:ascii="Arial" w:hAnsi="Arial" w:cs="Arial"/>
            <w:bCs/>
            <w:sz w:val="16"/>
            <w:szCs w:val="16"/>
            <w:lang w:eastAsia="de-DE"/>
          </w:rPr>
          <w:t>https://www.sit.de/lagsh/ehome.nsf/63DEAC1AFA572A6DC1258257003D4196/$file/U_6-Sa-220-16_10-01-2018.pdf</w:t>
        </w:r>
      </w:hyperlink>
    </w:p>
    <w:p w:rsidR="005C1CB2" w:rsidRDefault="005C1CB2" w:rsidP="005C1CB2">
      <w:pPr>
        <w:jc w:val="both"/>
        <w:rPr>
          <w:rFonts w:ascii="Arial" w:hAnsi="Arial" w:cs="Arial"/>
          <w:bCs/>
          <w:sz w:val="20"/>
          <w:szCs w:val="20"/>
          <w:lang w:eastAsia="de-DE"/>
        </w:rPr>
      </w:pPr>
    </w:p>
    <w:p w:rsidR="005C1CB2" w:rsidRPr="005C1CB2" w:rsidRDefault="005C1CB2" w:rsidP="005C1CB2">
      <w:pPr>
        <w:jc w:val="center"/>
        <w:rPr>
          <w:rFonts w:ascii="Arial" w:hAnsi="Arial" w:cs="Arial"/>
          <w:b/>
          <w:bCs/>
          <w:sz w:val="20"/>
          <w:szCs w:val="20"/>
          <w:lang w:eastAsia="de-DE"/>
        </w:rPr>
      </w:pPr>
      <w:r w:rsidRPr="005C1CB2">
        <w:rPr>
          <w:rFonts w:ascii="Arial" w:hAnsi="Arial" w:cs="Arial"/>
          <w:b/>
          <w:bCs/>
          <w:sz w:val="20"/>
          <w:szCs w:val="20"/>
          <w:lang w:eastAsia="de-DE"/>
        </w:rPr>
        <w:t>XIV.</w:t>
      </w:r>
    </w:p>
    <w:p w:rsidR="005C1CB2" w:rsidRPr="005C1CB2" w:rsidRDefault="005C1CB2" w:rsidP="005C1CB2">
      <w:pPr>
        <w:jc w:val="center"/>
        <w:rPr>
          <w:rFonts w:ascii="Arial" w:hAnsi="Arial" w:cs="Arial"/>
          <w:b/>
          <w:bCs/>
          <w:sz w:val="20"/>
          <w:szCs w:val="20"/>
          <w:lang w:eastAsia="de-DE"/>
        </w:rPr>
      </w:pPr>
      <w:r w:rsidRPr="005C1CB2">
        <w:rPr>
          <w:rFonts w:ascii="Arial" w:hAnsi="Arial" w:cs="Arial"/>
          <w:b/>
          <w:sz w:val="20"/>
          <w:szCs w:val="20"/>
          <w:lang w:eastAsia="de-DE"/>
        </w:rPr>
        <w:t>Prozesskostenhilfe, Versagung, keine hinreichenden Erfolgsaussichten, Kündigung, Probezeit, Dienststelle, Informationspflicht, Personalrat, Anhörung, Zustimmungsverweigerung, Unbeachtlichkeit, Einigungsstelle, Anrufung der Einigungsstelle, keine Verpflichtung</w:t>
      </w:r>
    </w:p>
    <w:p w:rsidR="005C1CB2" w:rsidRPr="005C1CB2" w:rsidRDefault="005C1CB2" w:rsidP="005C1CB2">
      <w:pPr>
        <w:jc w:val="center"/>
        <w:rPr>
          <w:rFonts w:ascii="Arial" w:hAnsi="Arial" w:cs="Arial"/>
          <w:bCs/>
          <w:sz w:val="20"/>
          <w:szCs w:val="20"/>
          <w:lang w:eastAsia="de-DE"/>
        </w:rPr>
      </w:pPr>
      <w:r>
        <w:rPr>
          <w:rFonts w:ascii="Arial" w:hAnsi="Arial" w:cs="Arial"/>
          <w:sz w:val="20"/>
          <w:szCs w:val="20"/>
          <w:lang w:eastAsia="de-DE"/>
        </w:rPr>
        <w:t xml:space="preserve">LAG Schleswig-Holstein, Beschluss vom 10.01.2018, Az. </w:t>
      </w:r>
      <w:r w:rsidRPr="005C1CB2">
        <w:rPr>
          <w:rFonts w:ascii="Arial" w:hAnsi="Arial" w:cs="Arial"/>
          <w:sz w:val="20"/>
          <w:szCs w:val="20"/>
          <w:lang w:eastAsia="de-DE"/>
        </w:rPr>
        <w:t>1 Sa 447/17</w:t>
      </w:r>
    </w:p>
    <w:p w:rsidR="00080D74" w:rsidRPr="005C1CB2" w:rsidRDefault="00080D74" w:rsidP="00080D74">
      <w:pPr>
        <w:rPr>
          <w:rFonts w:ascii="Arial" w:hAnsi="Arial" w:cs="Arial"/>
          <w:bCs/>
          <w:sz w:val="20"/>
          <w:szCs w:val="20"/>
          <w:lang w:eastAsia="de-DE"/>
        </w:rPr>
      </w:pPr>
    </w:p>
    <w:p w:rsidR="005C1CB2" w:rsidRPr="005C1CB2" w:rsidRDefault="005C1CB2" w:rsidP="005C1CB2">
      <w:pPr>
        <w:jc w:val="both"/>
        <w:rPr>
          <w:rFonts w:ascii="Arial" w:hAnsi="Arial" w:cs="Arial"/>
          <w:bCs/>
          <w:sz w:val="20"/>
          <w:szCs w:val="20"/>
          <w:lang w:eastAsia="de-DE"/>
        </w:rPr>
      </w:pPr>
      <w:r w:rsidRPr="005C1CB2">
        <w:rPr>
          <w:rFonts w:ascii="Arial" w:hAnsi="Arial" w:cs="Arial"/>
          <w:bCs/>
          <w:sz w:val="20"/>
          <w:szCs w:val="20"/>
          <w:lang w:eastAsia="de-DE"/>
        </w:rPr>
        <w:t>Die Klägerin begehrt Prozesskostenhilfe für die Durchführung eines Berufungsverfahrens.</w:t>
      </w:r>
    </w:p>
    <w:p w:rsidR="005C1CB2" w:rsidRPr="005C1CB2" w:rsidRDefault="005C1CB2" w:rsidP="005C1CB2">
      <w:pPr>
        <w:jc w:val="both"/>
        <w:rPr>
          <w:rFonts w:ascii="Arial" w:hAnsi="Arial" w:cs="Arial"/>
          <w:bCs/>
          <w:sz w:val="20"/>
          <w:szCs w:val="20"/>
          <w:lang w:eastAsia="de-DE"/>
        </w:rPr>
      </w:pPr>
      <w:r w:rsidRPr="005C1CB2">
        <w:rPr>
          <w:rFonts w:ascii="Arial" w:hAnsi="Arial" w:cs="Arial"/>
          <w:bCs/>
          <w:sz w:val="20"/>
          <w:szCs w:val="20"/>
          <w:lang w:eastAsia="de-DE"/>
        </w:rPr>
        <w:t>Sie ist seit dem 07.11.2016 auf der Grundlage eines schriftlichen Arbeitsvertrags (Bl. 3 f d. A.) mit dem beklagten Land als Institutssekretärin im Institut für G... der C... K... beschäftigt. Mit Schreiben vom 07.04.2017 bat der Institutsleiter und Vorgesetzte der Klägerin Professor S... den Geschäftsbereich Personal der C... K... darum, den Arbeitsvertrag der Klägerin innerhalb der Probezeit zu kündigen. Wegen des Inhalts dieses Schreibens wird auf Blatt 14 f d. A. Bezug genommen.</w:t>
      </w:r>
    </w:p>
    <w:p w:rsidR="005C1CB2" w:rsidRPr="005C1CB2" w:rsidRDefault="005C1CB2" w:rsidP="005C1CB2">
      <w:pPr>
        <w:jc w:val="both"/>
        <w:rPr>
          <w:rFonts w:ascii="Arial" w:hAnsi="Arial" w:cs="Arial"/>
          <w:bCs/>
          <w:sz w:val="20"/>
          <w:szCs w:val="20"/>
          <w:lang w:eastAsia="de-DE"/>
        </w:rPr>
      </w:pPr>
      <w:r w:rsidRPr="005C1CB2">
        <w:rPr>
          <w:rFonts w:ascii="Arial" w:hAnsi="Arial" w:cs="Arial"/>
          <w:bCs/>
          <w:sz w:val="20"/>
          <w:szCs w:val="20"/>
          <w:lang w:eastAsia="de-DE"/>
        </w:rPr>
        <w:t>Am 18.04.2017 beantragte der Geschäftsbereich Personal beim Personalrat die Zu-stimmung zur Kündigung des Arbeitsverhältnisses der Klägerin. Dem Personalrat wurde neben den Informationen im Zustimmungsantrag auch das Schreiben von Professor S... vom 07.04.2017 vorgelegt. Am 24.04.2017 beantwortete Professor S... in einer dreiseitigen E-Mail Nachfragen durch den Personalrat zu den Vorwürfen gegen-über der Klägerin. Insoweit wird auf Blatt 27 – 29 d. A. verwiesen.</w:t>
      </w:r>
    </w:p>
    <w:p w:rsidR="005C1CB2" w:rsidRDefault="005C1CB2" w:rsidP="00080D74">
      <w:pPr>
        <w:rPr>
          <w:rFonts w:ascii="Arial" w:hAnsi="Arial" w:cs="Arial"/>
          <w:bCs/>
          <w:sz w:val="20"/>
          <w:szCs w:val="20"/>
          <w:lang w:eastAsia="de-DE"/>
        </w:rPr>
      </w:pPr>
    </w:p>
    <w:p w:rsidR="0073314B" w:rsidRPr="00604964" w:rsidRDefault="0073314B" w:rsidP="0073314B">
      <w:pPr>
        <w:jc w:val="both"/>
        <w:rPr>
          <w:rFonts w:ascii="Arial" w:hAnsi="Arial" w:cs="Arial"/>
          <w:b/>
          <w:bCs/>
          <w:color w:val="002060"/>
          <w:sz w:val="16"/>
          <w:szCs w:val="16"/>
          <w:u w:val="single"/>
          <w:lang w:eastAsia="de-DE"/>
        </w:rPr>
      </w:pPr>
      <w:r w:rsidRPr="00604964">
        <w:rPr>
          <w:rFonts w:ascii="Arial" w:hAnsi="Arial" w:cs="Arial"/>
          <w:b/>
          <w:bCs/>
          <w:color w:val="002060"/>
          <w:sz w:val="16"/>
          <w:szCs w:val="16"/>
          <w:u w:val="single"/>
          <w:lang w:eastAsia="de-DE"/>
        </w:rPr>
        <w:t>Siehe:</w:t>
      </w:r>
    </w:p>
    <w:p w:rsidR="005C1CB2" w:rsidRPr="005C1CB2" w:rsidRDefault="005C1CB2" w:rsidP="00080D74">
      <w:pPr>
        <w:rPr>
          <w:rFonts w:ascii="Arial" w:hAnsi="Arial" w:cs="Arial"/>
          <w:bCs/>
          <w:sz w:val="16"/>
          <w:szCs w:val="16"/>
          <w:lang w:eastAsia="de-DE"/>
        </w:rPr>
      </w:pPr>
      <w:hyperlink r:id="rId19" w:history="1">
        <w:r w:rsidRPr="005C1CB2">
          <w:rPr>
            <w:rStyle w:val="Hyperlink"/>
            <w:rFonts w:ascii="Arial" w:hAnsi="Arial" w:cs="Arial"/>
            <w:bCs/>
            <w:sz w:val="16"/>
            <w:szCs w:val="16"/>
            <w:lang w:eastAsia="de-DE"/>
          </w:rPr>
          <w:t>https://www.sit.de/lagsh/ehome.nsf/E5D95888C760C951C1258257003D4197/$file/B_1-Sa-447-17_10-01-2018.pdf</w:t>
        </w:r>
      </w:hyperlink>
    </w:p>
    <w:p w:rsidR="005C1CB2" w:rsidRPr="005C1CB2" w:rsidRDefault="005C1CB2" w:rsidP="00080D74">
      <w:pPr>
        <w:rPr>
          <w:rFonts w:ascii="Arial" w:hAnsi="Arial" w:cs="Arial"/>
          <w:bCs/>
          <w:sz w:val="20"/>
          <w:szCs w:val="20"/>
          <w:lang w:eastAsia="de-DE"/>
        </w:rPr>
      </w:pPr>
    </w:p>
    <w:p w:rsidR="005C1CB2" w:rsidRDefault="005C1CB2" w:rsidP="005C1CB2">
      <w:pPr>
        <w:jc w:val="center"/>
        <w:rPr>
          <w:rFonts w:ascii="Arial" w:hAnsi="Arial" w:cs="Arial"/>
          <w:b/>
          <w:bCs/>
          <w:sz w:val="20"/>
          <w:szCs w:val="20"/>
          <w:lang w:eastAsia="de-DE"/>
        </w:rPr>
      </w:pPr>
      <w:r w:rsidRPr="005C1CB2">
        <w:rPr>
          <w:rFonts w:ascii="Arial" w:hAnsi="Arial" w:cs="Arial"/>
          <w:b/>
          <w:bCs/>
          <w:sz w:val="20"/>
          <w:szCs w:val="20"/>
          <w:lang w:eastAsia="de-DE"/>
        </w:rPr>
        <w:t>XV.</w:t>
      </w:r>
    </w:p>
    <w:p w:rsidR="005C1CB2" w:rsidRDefault="005C1CB2" w:rsidP="005C1CB2">
      <w:pPr>
        <w:jc w:val="center"/>
        <w:rPr>
          <w:rFonts w:ascii="Arial" w:hAnsi="Arial" w:cs="Arial"/>
          <w:b/>
          <w:bCs/>
          <w:sz w:val="20"/>
          <w:szCs w:val="20"/>
          <w:lang w:eastAsia="de-DE"/>
        </w:rPr>
      </w:pPr>
      <w:r w:rsidRPr="005C1CB2">
        <w:rPr>
          <w:rFonts w:ascii="Arial" w:hAnsi="Arial" w:cs="Arial"/>
          <w:b/>
          <w:bCs/>
          <w:sz w:val="20"/>
          <w:szCs w:val="20"/>
          <w:lang w:eastAsia="de-DE"/>
        </w:rPr>
        <w:t>Streitwert, Gegenstandswert, Wertfestsetzung, Weiterbeschäftigungsantrag, Hauptantrag, unbedingter Antrag, Hilfsantrag, unechter, Prozessvergleich</w:t>
      </w:r>
    </w:p>
    <w:p w:rsidR="005C1CB2" w:rsidRPr="005C1CB2" w:rsidRDefault="005C1CB2" w:rsidP="005C1CB2">
      <w:pPr>
        <w:jc w:val="center"/>
        <w:rPr>
          <w:rFonts w:ascii="Arial" w:hAnsi="Arial" w:cs="Arial"/>
          <w:bCs/>
          <w:sz w:val="20"/>
          <w:szCs w:val="20"/>
          <w:lang w:eastAsia="de-DE"/>
        </w:rPr>
      </w:pPr>
      <w:r w:rsidRPr="005C1CB2">
        <w:rPr>
          <w:rFonts w:ascii="Arial" w:hAnsi="Arial" w:cs="Arial"/>
          <w:bCs/>
          <w:sz w:val="20"/>
          <w:szCs w:val="20"/>
          <w:lang w:eastAsia="de-DE"/>
        </w:rPr>
        <w:t>LAG Schleswig-Holstein</w:t>
      </w:r>
      <w:r w:rsidR="00B21473">
        <w:rPr>
          <w:rFonts w:ascii="Arial" w:hAnsi="Arial" w:cs="Arial"/>
          <w:bCs/>
          <w:sz w:val="20"/>
          <w:szCs w:val="20"/>
          <w:lang w:eastAsia="de-DE"/>
        </w:rPr>
        <w:t xml:space="preserve">, Beschluss vom 24.01.2018 Az. </w:t>
      </w:r>
      <w:r w:rsidR="00B21473" w:rsidRPr="00B21473">
        <w:rPr>
          <w:rFonts w:ascii="Arial" w:hAnsi="Arial" w:cs="Arial"/>
          <w:bCs/>
          <w:sz w:val="20"/>
          <w:szCs w:val="20"/>
          <w:lang w:eastAsia="de-DE"/>
        </w:rPr>
        <w:t>5 Ta 137/17</w:t>
      </w:r>
    </w:p>
    <w:p w:rsidR="005C1CB2" w:rsidRPr="00B21473" w:rsidRDefault="005C1CB2" w:rsidP="00080D74">
      <w:pPr>
        <w:rPr>
          <w:rFonts w:ascii="Arial" w:hAnsi="Arial" w:cs="Arial"/>
          <w:bCs/>
          <w:sz w:val="20"/>
          <w:szCs w:val="20"/>
          <w:lang w:eastAsia="de-DE"/>
        </w:rPr>
      </w:pPr>
    </w:p>
    <w:p w:rsidR="00B21473" w:rsidRPr="00B21473" w:rsidRDefault="00B21473" w:rsidP="00B21473">
      <w:pPr>
        <w:jc w:val="both"/>
        <w:rPr>
          <w:rFonts w:ascii="Arial" w:hAnsi="Arial" w:cs="Arial"/>
          <w:bCs/>
          <w:sz w:val="20"/>
          <w:szCs w:val="20"/>
          <w:lang w:eastAsia="de-DE"/>
        </w:rPr>
      </w:pPr>
      <w:r w:rsidRPr="00B21473">
        <w:rPr>
          <w:rFonts w:ascii="Arial" w:hAnsi="Arial" w:cs="Arial"/>
          <w:bCs/>
          <w:sz w:val="20"/>
          <w:szCs w:val="20"/>
          <w:lang w:eastAsia="de-DE"/>
        </w:rPr>
        <w:t>Im Hauptsacheverfahren führten die Parteien im Wesentlichen einen Kündigungsrechtsstreit. Die Klägerin kündigte in der Klagschrift folgende Anträge an:</w:t>
      </w:r>
    </w:p>
    <w:p w:rsidR="00B21473" w:rsidRPr="00B21473" w:rsidRDefault="00B21473" w:rsidP="00B21473">
      <w:pPr>
        <w:jc w:val="both"/>
        <w:rPr>
          <w:rFonts w:ascii="Arial" w:hAnsi="Arial" w:cs="Arial"/>
          <w:bCs/>
          <w:sz w:val="20"/>
          <w:szCs w:val="20"/>
          <w:lang w:eastAsia="de-DE"/>
        </w:rPr>
      </w:pPr>
      <w:r w:rsidRPr="00B21473">
        <w:rPr>
          <w:rFonts w:ascii="Arial" w:hAnsi="Arial" w:cs="Arial"/>
          <w:bCs/>
          <w:sz w:val="20"/>
          <w:szCs w:val="20"/>
          <w:lang w:eastAsia="de-DE"/>
        </w:rPr>
        <w:t>„1. Festzustellen, dass das Arbeitsverhältnis der Parteien weder durch die ordentliche Kündigung der Beklagten vom 27.09.2017 zum 31.10.2017, n</w:t>
      </w:r>
      <w:r>
        <w:rPr>
          <w:rFonts w:ascii="Arial" w:hAnsi="Arial" w:cs="Arial"/>
          <w:bCs/>
          <w:sz w:val="20"/>
          <w:szCs w:val="20"/>
          <w:lang w:eastAsia="de-DE"/>
        </w:rPr>
        <w:t>och durch die ordentliche Kündi</w:t>
      </w:r>
      <w:r w:rsidRPr="00B21473">
        <w:rPr>
          <w:rFonts w:ascii="Arial" w:hAnsi="Arial" w:cs="Arial"/>
          <w:bCs/>
          <w:sz w:val="20"/>
          <w:szCs w:val="20"/>
          <w:lang w:eastAsia="de-DE"/>
        </w:rPr>
        <w:t>gung der Beklagten vom 11.10.2017 zum 15.11.2017 aufgelöst ist.</w:t>
      </w:r>
    </w:p>
    <w:p w:rsidR="00B21473" w:rsidRPr="00B21473" w:rsidRDefault="00B21473" w:rsidP="00B21473">
      <w:pPr>
        <w:jc w:val="both"/>
        <w:rPr>
          <w:rFonts w:ascii="Arial" w:hAnsi="Arial" w:cs="Arial"/>
          <w:bCs/>
          <w:sz w:val="20"/>
          <w:szCs w:val="20"/>
          <w:lang w:eastAsia="de-DE"/>
        </w:rPr>
      </w:pPr>
      <w:r w:rsidRPr="00B21473">
        <w:rPr>
          <w:rFonts w:ascii="Arial" w:hAnsi="Arial" w:cs="Arial"/>
          <w:bCs/>
          <w:sz w:val="20"/>
          <w:szCs w:val="20"/>
          <w:lang w:eastAsia="de-DE"/>
        </w:rPr>
        <w:t>2. Festzustellen, dass das Arbeitsverhältnis der Parteien</w:t>
      </w:r>
      <w:r>
        <w:rPr>
          <w:rFonts w:ascii="Arial" w:hAnsi="Arial" w:cs="Arial"/>
          <w:bCs/>
          <w:sz w:val="20"/>
          <w:szCs w:val="20"/>
          <w:lang w:eastAsia="de-DE"/>
        </w:rPr>
        <w:t xml:space="preserve"> auch nicht durch andere Beendi</w:t>
      </w:r>
      <w:r w:rsidRPr="00B21473">
        <w:rPr>
          <w:rFonts w:ascii="Arial" w:hAnsi="Arial" w:cs="Arial"/>
          <w:bCs/>
          <w:sz w:val="20"/>
          <w:szCs w:val="20"/>
          <w:lang w:eastAsia="de-DE"/>
        </w:rPr>
        <w:t>gungstatbestände aufgelöst wird, sondern zu unveränderten Bedingungen fortbesteht.</w:t>
      </w:r>
    </w:p>
    <w:p w:rsidR="00B21473" w:rsidRPr="00B21473" w:rsidRDefault="00B21473" w:rsidP="00B21473">
      <w:pPr>
        <w:jc w:val="both"/>
        <w:rPr>
          <w:rFonts w:ascii="Arial" w:hAnsi="Arial" w:cs="Arial"/>
          <w:bCs/>
          <w:sz w:val="20"/>
          <w:szCs w:val="20"/>
          <w:lang w:eastAsia="de-DE"/>
        </w:rPr>
      </w:pPr>
      <w:r w:rsidRPr="00B21473">
        <w:rPr>
          <w:rFonts w:ascii="Arial" w:hAnsi="Arial" w:cs="Arial"/>
          <w:bCs/>
          <w:sz w:val="20"/>
          <w:szCs w:val="20"/>
          <w:lang w:eastAsia="de-DE"/>
        </w:rPr>
        <w:t>3. Die Beklagte zu verurteilen, die Klägerin – bis zur rechtskräftigen Entscheidung über den Klageantrag zu Ziffer 1. - entsprechend dem Arbeitsvertrag als Vertriebsmitarbeiterin tatsächlich weiterzubeschäftigen.</w:t>
      </w:r>
    </w:p>
    <w:p w:rsidR="00B21473" w:rsidRPr="00B21473" w:rsidRDefault="00B21473" w:rsidP="00B21473">
      <w:pPr>
        <w:jc w:val="both"/>
        <w:rPr>
          <w:rFonts w:ascii="Arial" w:hAnsi="Arial" w:cs="Arial"/>
          <w:bCs/>
          <w:sz w:val="20"/>
          <w:szCs w:val="20"/>
          <w:lang w:eastAsia="de-DE"/>
        </w:rPr>
      </w:pPr>
      <w:r w:rsidRPr="00B21473">
        <w:rPr>
          <w:rFonts w:ascii="Arial" w:hAnsi="Arial" w:cs="Arial"/>
          <w:bCs/>
          <w:sz w:val="20"/>
          <w:szCs w:val="20"/>
          <w:lang w:eastAsia="de-DE"/>
        </w:rPr>
        <w:t>4. Die Beklagte zu verurteilen, der Klägerin ein qualifiziertes Zwischenzeugnis zu erteilen, das sich auf Art und Dauer des Arbeitsverhältnisses sowie Leistung und Verhalten der Klägerin im Arbeitsverhältnis erstreckt und eine Leistungs- und Verhaltensbeurteilung mit der Bewertung „zur vollen Zufriedenheit“ enthält.</w:t>
      </w:r>
    </w:p>
    <w:p w:rsidR="00B21473" w:rsidRPr="00B21473" w:rsidRDefault="00B21473" w:rsidP="00B21473">
      <w:pPr>
        <w:jc w:val="both"/>
        <w:rPr>
          <w:rFonts w:ascii="Arial" w:hAnsi="Arial" w:cs="Arial"/>
          <w:bCs/>
          <w:sz w:val="20"/>
          <w:szCs w:val="20"/>
          <w:lang w:eastAsia="de-DE"/>
        </w:rPr>
      </w:pPr>
      <w:r w:rsidRPr="00B21473">
        <w:rPr>
          <w:rFonts w:ascii="Arial" w:hAnsi="Arial" w:cs="Arial"/>
          <w:bCs/>
          <w:sz w:val="20"/>
          <w:szCs w:val="20"/>
          <w:lang w:eastAsia="de-DE"/>
        </w:rPr>
        <w:t>Für den Fall, dass dem Antrag zu 1. nicht stattgegeben werden sollte, wird beantragt:</w:t>
      </w:r>
    </w:p>
    <w:p w:rsidR="00B21473" w:rsidRPr="00B21473" w:rsidRDefault="00B21473" w:rsidP="00B21473">
      <w:pPr>
        <w:jc w:val="both"/>
        <w:rPr>
          <w:rFonts w:ascii="Arial" w:hAnsi="Arial" w:cs="Arial"/>
          <w:bCs/>
          <w:sz w:val="20"/>
          <w:szCs w:val="20"/>
          <w:lang w:eastAsia="de-DE"/>
        </w:rPr>
      </w:pPr>
      <w:r w:rsidRPr="00B21473">
        <w:rPr>
          <w:rFonts w:ascii="Arial" w:hAnsi="Arial" w:cs="Arial"/>
          <w:bCs/>
          <w:sz w:val="20"/>
          <w:szCs w:val="20"/>
          <w:lang w:eastAsia="de-DE"/>
        </w:rPr>
        <w:t>5. Die Beklagte zu verurteilen, der Klägerin unter dem Datum der Beendigung des Arbeitsverhältnisses ein qualifiziertes Endzeugnis zu erteilen, das sich auf Art und Dauer des Arbeits-verhältnisses sowie Leistung und Verhalten der Klägerin im Arbeitsverhältnis erstreckt und eine Leistungs- und Verhaltensbeurteilung mit der Bewertung ‚zur vollen Zufriedenheit‘ enthält.“</w:t>
      </w:r>
    </w:p>
    <w:p w:rsidR="00B21473" w:rsidRPr="00B21473" w:rsidRDefault="00B21473" w:rsidP="00B21473">
      <w:pPr>
        <w:jc w:val="both"/>
        <w:rPr>
          <w:rFonts w:ascii="Arial" w:hAnsi="Arial" w:cs="Arial"/>
          <w:bCs/>
          <w:sz w:val="20"/>
          <w:szCs w:val="20"/>
          <w:lang w:eastAsia="de-DE"/>
        </w:rPr>
      </w:pPr>
      <w:r w:rsidRPr="00B21473">
        <w:rPr>
          <w:rFonts w:ascii="Arial" w:hAnsi="Arial" w:cs="Arial"/>
          <w:bCs/>
          <w:sz w:val="20"/>
          <w:szCs w:val="20"/>
          <w:lang w:eastAsia="de-DE"/>
        </w:rPr>
        <w:t>In der Klagschrift verwies der Kläger zur Begründung des Weiterbeschäftigungsantrags unter der Überschrift „Hauptantrag zu 3. Weiterbeschäftigung“ auf die Rechtsprechung des Bundesarbeitsgerichts vom 27.02.1985 - GS 1/84 -.</w:t>
      </w:r>
    </w:p>
    <w:p w:rsidR="00B21473" w:rsidRDefault="00B21473" w:rsidP="00080D74">
      <w:pPr>
        <w:rPr>
          <w:rFonts w:ascii="Arial" w:hAnsi="Arial" w:cs="Arial"/>
          <w:bCs/>
          <w:sz w:val="20"/>
          <w:szCs w:val="20"/>
          <w:lang w:eastAsia="de-DE"/>
        </w:rPr>
      </w:pPr>
    </w:p>
    <w:p w:rsidR="0073314B" w:rsidRPr="00604964" w:rsidRDefault="0073314B" w:rsidP="0073314B">
      <w:pPr>
        <w:jc w:val="both"/>
        <w:rPr>
          <w:rFonts w:ascii="Arial" w:hAnsi="Arial" w:cs="Arial"/>
          <w:b/>
          <w:bCs/>
          <w:color w:val="002060"/>
          <w:sz w:val="16"/>
          <w:szCs w:val="16"/>
          <w:u w:val="single"/>
          <w:lang w:eastAsia="de-DE"/>
        </w:rPr>
      </w:pPr>
      <w:r w:rsidRPr="00604964">
        <w:rPr>
          <w:rFonts w:ascii="Arial" w:hAnsi="Arial" w:cs="Arial"/>
          <w:b/>
          <w:bCs/>
          <w:color w:val="002060"/>
          <w:sz w:val="16"/>
          <w:szCs w:val="16"/>
          <w:u w:val="single"/>
          <w:lang w:eastAsia="de-DE"/>
        </w:rPr>
        <w:t>Siehe:</w:t>
      </w:r>
    </w:p>
    <w:p w:rsidR="00B21473" w:rsidRPr="00B21473" w:rsidRDefault="00B21473" w:rsidP="00080D74">
      <w:pPr>
        <w:rPr>
          <w:rFonts w:ascii="Arial" w:hAnsi="Arial" w:cs="Arial"/>
          <w:bCs/>
          <w:sz w:val="16"/>
          <w:szCs w:val="16"/>
          <w:lang w:eastAsia="de-DE"/>
        </w:rPr>
      </w:pPr>
      <w:hyperlink r:id="rId20" w:history="1">
        <w:r w:rsidRPr="00B21473">
          <w:rPr>
            <w:rStyle w:val="Hyperlink"/>
            <w:rFonts w:ascii="Arial" w:hAnsi="Arial" w:cs="Arial"/>
            <w:bCs/>
            <w:sz w:val="16"/>
            <w:szCs w:val="16"/>
            <w:lang w:eastAsia="de-DE"/>
          </w:rPr>
          <w:t>https://www.sit.de/lagsh/ehome.nsf/7307D6324E7A1F7CC1258257003D4198/$file/B_5-Ta-137-17_24-01-2018.pdf</w:t>
        </w:r>
      </w:hyperlink>
    </w:p>
    <w:p w:rsidR="00B21473" w:rsidRDefault="00B21473" w:rsidP="00080D74">
      <w:pPr>
        <w:rPr>
          <w:rFonts w:ascii="Arial" w:hAnsi="Arial" w:cs="Arial"/>
          <w:bCs/>
          <w:sz w:val="20"/>
          <w:szCs w:val="20"/>
          <w:lang w:eastAsia="de-DE"/>
        </w:rPr>
      </w:pPr>
    </w:p>
    <w:p w:rsidR="00B21473" w:rsidRPr="00B21473" w:rsidRDefault="00B21473" w:rsidP="00B21473">
      <w:pPr>
        <w:jc w:val="center"/>
        <w:rPr>
          <w:rFonts w:ascii="Arial" w:hAnsi="Arial" w:cs="Arial"/>
          <w:b/>
          <w:bCs/>
          <w:sz w:val="20"/>
          <w:szCs w:val="20"/>
          <w:lang w:eastAsia="de-DE"/>
        </w:rPr>
      </w:pPr>
      <w:r w:rsidRPr="00B21473">
        <w:rPr>
          <w:rFonts w:ascii="Arial" w:hAnsi="Arial" w:cs="Arial"/>
          <w:b/>
          <w:bCs/>
          <w:sz w:val="20"/>
          <w:szCs w:val="20"/>
          <w:lang w:eastAsia="de-DE"/>
        </w:rPr>
        <w:t>XVII.</w:t>
      </w:r>
    </w:p>
    <w:p w:rsidR="00B21473" w:rsidRPr="00B21473" w:rsidRDefault="00B21473" w:rsidP="00B21473">
      <w:pPr>
        <w:jc w:val="center"/>
        <w:rPr>
          <w:rFonts w:ascii="Arial" w:hAnsi="Arial" w:cs="Arial"/>
          <w:b/>
          <w:bCs/>
          <w:sz w:val="20"/>
          <w:szCs w:val="20"/>
          <w:lang w:eastAsia="de-DE"/>
        </w:rPr>
      </w:pPr>
      <w:r w:rsidRPr="00B21473">
        <w:rPr>
          <w:rFonts w:ascii="Arial" w:hAnsi="Arial" w:cs="Arial"/>
          <w:b/>
          <w:bCs/>
          <w:sz w:val="20"/>
          <w:szCs w:val="20"/>
          <w:lang w:eastAsia="de-DE"/>
        </w:rPr>
        <w:t>Einigungsstelle, Einigungsstellenspruch, Anfechtung, Unwirksamkeit, Teilunwirksamkeit, Rechtsfolgen, Gefährdungsbeurteilung, Regelung, Regelungsspielraum, Ausschöpfung, Arbeitssicherheit, Gestaltung (menschengerechte) der Arbeit, psychische Belastung</w:t>
      </w:r>
    </w:p>
    <w:p w:rsidR="00B21473" w:rsidRDefault="00B21473" w:rsidP="00B21473">
      <w:pPr>
        <w:jc w:val="center"/>
        <w:rPr>
          <w:rFonts w:ascii="Arial" w:hAnsi="Arial" w:cs="Arial"/>
          <w:bCs/>
          <w:sz w:val="20"/>
          <w:szCs w:val="20"/>
          <w:lang w:eastAsia="de-DE"/>
        </w:rPr>
      </w:pPr>
      <w:r w:rsidRPr="00B21473">
        <w:rPr>
          <w:rFonts w:ascii="Arial" w:hAnsi="Arial" w:cs="Arial"/>
          <w:bCs/>
          <w:sz w:val="20"/>
          <w:szCs w:val="20"/>
          <w:lang w:eastAsia="de-DE"/>
        </w:rPr>
        <w:t>LAG Schleswig-Holstein</w:t>
      </w:r>
      <w:r>
        <w:rPr>
          <w:rFonts w:ascii="Arial" w:hAnsi="Arial" w:cs="Arial"/>
          <w:bCs/>
          <w:sz w:val="20"/>
          <w:szCs w:val="20"/>
          <w:lang w:eastAsia="de-DE"/>
        </w:rPr>
        <w:t xml:space="preserve">, Beschluss vom 16.01.2048, Az. </w:t>
      </w:r>
      <w:r w:rsidRPr="00B21473">
        <w:rPr>
          <w:rFonts w:ascii="Arial" w:hAnsi="Arial" w:cs="Arial"/>
          <w:bCs/>
          <w:sz w:val="20"/>
          <w:szCs w:val="20"/>
          <w:lang w:eastAsia="de-DE"/>
        </w:rPr>
        <w:t>1 TaBV 14/17</w:t>
      </w:r>
    </w:p>
    <w:p w:rsidR="00B21473" w:rsidRDefault="00B21473" w:rsidP="00080D74">
      <w:pPr>
        <w:rPr>
          <w:rFonts w:ascii="Arial" w:hAnsi="Arial" w:cs="Arial"/>
          <w:bCs/>
          <w:sz w:val="20"/>
          <w:szCs w:val="20"/>
          <w:lang w:eastAsia="de-DE"/>
        </w:rPr>
      </w:pPr>
    </w:p>
    <w:p w:rsidR="00B21473" w:rsidRPr="00B21473" w:rsidRDefault="00B21473" w:rsidP="00B21473">
      <w:pPr>
        <w:jc w:val="both"/>
        <w:rPr>
          <w:rFonts w:ascii="Arial" w:hAnsi="Arial" w:cs="Arial"/>
          <w:bCs/>
          <w:sz w:val="20"/>
          <w:szCs w:val="20"/>
          <w:lang w:eastAsia="de-DE"/>
        </w:rPr>
      </w:pPr>
      <w:r w:rsidRPr="00B21473">
        <w:rPr>
          <w:rFonts w:ascii="Arial" w:hAnsi="Arial" w:cs="Arial"/>
          <w:bCs/>
          <w:sz w:val="20"/>
          <w:szCs w:val="20"/>
          <w:lang w:eastAsia="de-DE"/>
        </w:rPr>
        <w:t>Auf die Beschwerde der Arbeitgeberin wird der Beschluss des Arbeitsgerichts Lübeck vom 26.04.2017 – 5 BV 143/16 – teilweise geändert:</w:t>
      </w:r>
    </w:p>
    <w:p w:rsidR="00B21473" w:rsidRPr="00B21473" w:rsidRDefault="00B21473" w:rsidP="00B21473">
      <w:pPr>
        <w:jc w:val="both"/>
        <w:rPr>
          <w:rFonts w:ascii="Arial" w:hAnsi="Arial" w:cs="Arial"/>
          <w:bCs/>
          <w:sz w:val="20"/>
          <w:szCs w:val="20"/>
          <w:lang w:eastAsia="de-DE"/>
        </w:rPr>
      </w:pPr>
      <w:r w:rsidRPr="00B21473">
        <w:rPr>
          <w:rFonts w:ascii="Arial" w:hAnsi="Arial" w:cs="Arial"/>
          <w:bCs/>
          <w:sz w:val="20"/>
          <w:szCs w:val="20"/>
          <w:lang w:eastAsia="de-DE"/>
        </w:rPr>
        <w:t>Es wird festgestellt, dass der Spruch der Einigungsstelle vom 8. September 2016 zur „Durchführung von Gefährdungsbeurteilungen an den Arbeitsplätzen der Pilotprojekte aus dem Teilinteressenausgleich H.O.S. vom 18.04.2008“ rechtsunwirksam ist, soweit dort in den Ziffern 4.1., 4.5., 5. und 6. und der An-lage 3 zum Spruch Regelungen zur Durchführung der Gefährdungsbeurteilung psychische Belastungen und den Aufg</w:t>
      </w:r>
      <w:r>
        <w:rPr>
          <w:rFonts w:ascii="Arial" w:hAnsi="Arial" w:cs="Arial"/>
          <w:bCs/>
          <w:sz w:val="20"/>
          <w:szCs w:val="20"/>
          <w:lang w:eastAsia="de-DE"/>
        </w:rPr>
        <w:t>aben und Befugnissen des „Analy</w:t>
      </w:r>
      <w:r w:rsidRPr="00B21473">
        <w:rPr>
          <w:rFonts w:ascii="Arial" w:hAnsi="Arial" w:cs="Arial"/>
          <w:bCs/>
          <w:sz w:val="20"/>
          <w:szCs w:val="20"/>
          <w:lang w:eastAsia="de-DE"/>
        </w:rPr>
        <w:t>seteams“ enthalten sind; im Übrigen wird der Antrag des Betriebsrats zurück-gewiesen.</w:t>
      </w:r>
    </w:p>
    <w:p w:rsidR="00B21473" w:rsidRPr="00B21473" w:rsidRDefault="00B21473" w:rsidP="00B21473">
      <w:pPr>
        <w:jc w:val="both"/>
        <w:rPr>
          <w:rFonts w:ascii="Arial" w:hAnsi="Arial" w:cs="Arial"/>
          <w:bCs/>
          <w:sz w:val="20"/>
          <w:szCs w:val="20"/>
          <w:lang w:eastAsia="de-DE"/>
        </w:rPr>
      </w:pPr>
      <w:r w:rsidRPr="00B21473">
        <w:rPr>
          <w:rFonts w:ascii="Arial" w:hAnsi="Arial" w:cs="Arial"/>
          <w:bCs/>
          <w:sz w:val="20"/>
          <w:szCs w:val="20"/>
          <w:lang w:eastAsia="de-DE"/>
        </w:rPr>
        <w:t>Die weitergehende Beschwerde der Arbeitgeberin wird zurückgewiesen.</w:t>
      </w:r>
    </w:p>
    <w:p w:rsidR="00B21473" w:rsidRDefault="00B21473" w:rsidP="00B21473">
      <w:pPr>
        <w:jc w:val="both"/>
        <w:rPr>
          <w:rFonts w:ascii="Arial" w:hAnsi="Arial" w:cs="Arial"/>
          <w:bCs/>
          <w:sz w:val="20"/>
          <w:szCs w:val="20"/>
          <w:lang w:eastAsia="de-DE"/>
        </w:rPr>
      </w:pPr>
    </w:p>
    <w:p w:rsidR="0073314B" w:rsidRPr="00604964" w:rsidRDefault="0073314B" w:rsidP="0073314B">
      <w:pPr>
        <w:jc w:val="both"/>
        <w:rPr>
          <w:rFonts w:ascii="Arial" w:hAnsi="Arial" w:cs="Arial"/>
          <w:b/>
          <w:bCs/>
          <w:color w:val="002060"/>
          <w:sz w:val="16"/>
          <w:szCs w:val="16"/>
          <w:u w:val="single"/>
          <w:lang w:eastAsia="de-DE"/>
        </w:rPr>
      </w:pPr>
      <w:r w:rsidRPr="00604964">
        <w:rPr>
          <w:rFonts w:ascii="Arial" w:hAnsi="Arial" w:cs="Arial"/>
          <w:b/>
          <w:bCs/>
          <w:color w:val="002060"/>
          <w:sz w:val="16"/>
          <w:szCs w:val="16"/>
          <w:u w:val="single"/>
          <w:lang w:eastAsia="de-DE"/>
        </w:rPr>
        <w:t>Siehe:</w:t>
      </w:r>
    </w:p>
    <w:p w:rsidR="00B21473" w:rsidRDefault="00B21473" w:rsidP="00B21473">
      <w:pPr>
        <w:jc w:val="both"/>
        <w:rPr>
          <w:rFonts w:ascii="Arial" w:hAnsi="Arial" w:cs="Arial"/>
          <w:bCs/>
          <w:sz w:val="16"/>
          <w:szCs w:val="16"/>
          <w:lang w:eastAsia="de-DE"/>
        </w:rPr>
      </w:pPr>
      <w:hyperlink r:id="rId21" w:history="1">
        <w:r w:rsidRPr="00161BED">
          <w:rPr>
            <w:rStyle w:val="Hyperlink"/>
            <w:rFonts w:ascii="Arial" w:hAnsi="Arial" w:cs="Arial"/>
            <w:bCs/>
            <w:sz w:val="16"/>
            <w:szCs w:val="16"/>
            <w:lang w:eastAsia="de-DE"/>
          </w:rPr>
          <w:t>https://www.sit.de/lagsh/ehome.nsf/65453264C4496018C1258257003E909D/$file/B_1-TaBV-14-17_16-01-2018.pdf</w:t>
        </w:r>
      </w:hyperlink>
    </w:p>
    <w:p w:rsidR="00B21473" w:rsidRDefault="00B21473" w:rsidP="00B21473">
      <w:pPr>
        <w:jc w:val="both"/>
        <w:rPr>
          <w:rFonts w:ascii="Arial" w:hAnsi="Arial" w:cs="Arial"/>
          <w:bCs/>
          <w:sz w:val="20"/>
          <w:szCs w:val="20"/>
          <w:lang w:eastAsia="de-DE"/>
        </w:rPr>
      </w:pPr>
    </w:p>
    <w:p w:rsidR="00B21473" w:rsidRPr="00B21473" w:rsidRDefault="00B21473" w:rsidP="00B21473">
      <w:pPr>
        <w:jc w:val="center"/>
        <w:rPr>
          <w:rFonts w:ascii="Arial" w:hAnsi="Arial" w:cs="Arial"/>
          <w:b/>
          <w:bCs/>
          <w:sz w:val="20"/>
          <w:szCs w:val="20"/>
          <w:lang w:eastAsia="de-DE"/>
        </w:rPr>
      </w:pPr>
      <w:r w:rsidRPr="00B21473">
        <w:rPr>
          <w:rFonts w:ascii="Arial" w:hAnsi="Arial" w:cs="Arial"/>
          <w:b/>
          <w:bCs/>
          <w:sz w:val="20"/>
          <w:szCs w:val="20"/>
          <w:lang w:eastAsia="de-DE"/>
        </w:rPr>
        <w:t>XVIII.</w:t>
      </w:r>
    </w:p>
    <w:p w:rsidR="00B21473" w:rsidRPr="00B21473" w:rsidRDefault="00B21473" w:rsidP="00B21473">
      <w:pPr>
        <w:jc w:val="center"/>
        <w:rPr>
          <w:rFonts w:ascii="Arial" w:hAnsi="Arial" w:cs="Arial"/>
          <w:b/>
          <w:bCs/>
          <w:sz w:val="20"/>
          <w:szCs w:val="20"/>
          <w:lang w:eastAsia="de-DE"/>
        </w:rPr>
      </w:pPr>
      <w:r w:rsidRPr="00B21473">
        <w:rPr>
          <w:rFonts w:ascii="Arial" w:hAnsi="Arial" w:cs="Arial"/>
          <w:b/>
          <w:bCs/>
          <w:sz w:val="20"/>
          <w:szCs w:val="20"/>
          <w:lang w:eastAsia="de-DE"/>
        </w:rPr>
        <w:t>Entschädigung, Entschädigungsklage, Diskriminierung, Schwerbehinderte, Stellenausschreibung, interne Ausschreibung, externe Ausschreibung, Vermutung, Widerlegung</w:t>
      </w:r>
    </w:p>
    <w:p w:rsidR="00B21473" w:rsidRDefault="00B21473" w:rsidP="00B21473">
      <w:pPr>
        <w:jc w:val="center"/>
        <w:rPr>
          <w:rFonts w:ascii="Arial" w:hAnsi="Arial" w:cs="Arial"/>
          <w:bCs/>
          <w:sz w:val="20"/>
          <w:szCs w:val="20"/>
          <w:lang w:eastAsia="de-DE"/>
        </w:rPr>
      </w:pPr>
      <w:r w:rsidRPr="00B21473">
        <w:rPr>
          <w:rFonts w:ascii="Arial" w:hAnsi="Arial" w:cs="Arial"/>
          <w:bCs/>
          <w:sz w:val="20"/>
          <w:szCs w:val="20"/>
          <w:lang w:eastAsia="de-DE"/>
        </w:rPr>
        <w:t>ArbG Lübeck</w:t>
      </w:r>
      <w:r>
        <w:rPr>
          <w:rFonts w:ascii="Arial" w:hAnsi="Arial" w:cs="Arial"/>
          <w:bCs/>
          <w:sz w:val="20"/>
          <w:szCs w:val="20"/>
          <w:lang w:eastAsia="de-DE"/>
        </w:rPr>
        <w:t xml:space="preserve">, Urteil vom 19.12.2017, Az. </w:t>
      </w:r>
      <w:r w:rsidRPr="00B21473">
        <w:rPr>
          <w:rFonts w:ascii="Arial" w:hAnsi="Arial" w:cs="Arial"/>
          <w:bCs/>
          <w:sz w:val="20"/>
          <w:szCs w:val="20"/>
          <w:lang w:eastAsia="de-DE"/>
        </w:rPr>
        <w:t>3 Ca 2041 b/17</w:t>
      </w:r>
    </w:p>
    <w:p w:rsidR="00B21473" w:rsidRDefault="00B21473" w:rsidP="00080D74">
      <w:pPr>
        <w:rPr>
          <w:rFonts w:ascii="Arial" w:hAnsi="Arial" w:cs="Arial"/>
          <w:bCs/>
          <w:sz w:val="20"/>
          <w:szCs w:val="20"/>
          <w:lang w:eastAsia="de-DE"/>
        </w:rPr>
      </w:pPr>
    </w:p>
    <w:p w:rsidR="00B21473" w:rsidRPr="00B21473" w:rsidRDefault="00B21473" w:rsidP="00B21473">
      <w:pPr>
        <w:jc w:val="both"/>
        <w:rPr>
          <w:rFonts w:ascii="Arial" w:hAnsi="Arial" w:cs="Arial"/>
          <w:bCs/>
          <w:sz w:val="20"/>
          <w:szCs w:val="20"/>
          <w:lang w:eastAsia="de-DE"/>
        </w:rPr>
      </w:pPr>
      <w:r w:rsidRPr="00B21473">
        <w:rPr>
          <w:rFonts w:ascii="Arial" w:hAnsi="Arial" w:cs="Arial"/>
          <w:bCs/>
          <w:sz w:val="20"/>
          <w:szCs w:val="20"/>
          <w:lang w:eastAsia="de-DE"/>
        </w:rPr>
        <w:t>Die Parteien streiten über eine Entschädigung gemäß § 15 Abs. 2 AGG, weil die einem schwerbehinderten Menschen gleichgestellte Klägerin als externe Bewerberin bei der Bewerbung um eine in- und extern ausgeschriebene Stelle bei der Beklagten nicht zum Zuge gekommen ist.</w:t>
      </w:r>
    </w:p>
    <w:p w:rsidR="00B21473" w:rsidRDefault="00B21473" w:rsidP="00B21473">
      <w:pPr>
        <w:jc w:val="both"/>
        <w:rPr>
          <w:rFonts w:ascii="Arial" w:hAnsi="Arial" w:cs="Arial"/>
          <w:bCs/>
          <w:sz w:val="20"/>
          <w:szCs w:val="20"/>
          <w:lang w:eastAsia="de-DE"/>
        </w:rPr>
      </w:pPr>
      <w:r w:rsidRPr="00B21473">
        <w:rPr>
          <w:rFonts w:ascii="Arial" w:hAnsi="Arial" w:cs="Arial"/>
          <w:bCs/>
          <w:sz w:val="20"/>
          <w:szCs w:val="20"/>
          <w:lang w:eastAsia="de-DE"/>
        </w:rPr>
        <w:t>Die Beklagte ist eine kommunale Gebietskörperschaft, die sich aufgrund ihrer prekären Haushaltslage gegenüber dem Land Schleswig-Holstein durch öffentlich-rechtlichen Vertrag verpflichtet hat, bis 2018 strukturelle Einsparungen in Millionenhöhe vorzunehmen. Nur auf diese Weise kann die Beklagte an dem Konsolidierungsfond des Landes teilnehmen. Im Übrigen gelten bei der Beklagten die personalpolitischen Eckpunkte im Rahmen der Haushaltskonsolidierung in der Fassung vom 28. Februar 2009.</w:t>
      </w:r>
    </w:p>
    <w:p w:rsidR="00B21473" w:rsidRDefault="00B21473" w:rsidP="00080D74">
      <w:pPr>
        <w:rPr>
          <w:rFonts w:ascii="Arial" w:hAnsi="Arial" w:cs="Arial"/>
          <w:bCs/>
          <w:sz w:val="20"/>
          <w:szCs w:val="20"/>
          <w:lang w:eastAsia="de-DE"/>
        </w:rPr>
      </w:pPr>
    </w:p>
    <w:p w:rsidR="0073314B" w:rsidRPr="00604964" w:rsidRDefault="0073314B" w:rsidP="0073314B">
      <w:pPr>
        <w:jc w:val="both"/>
        <w:rPr>
          <w:rFonts w:ascii="Arial" w:hAnsi="Arial" w:cs="Arial"/>
          <w:b/>
          <w:bCs/>
          <w:color w:val="002060"/>
          <w:sz w:val="16"/>
          <w:szCs w:val="16"/>
          <w:u w:val="single"/>
          <w:lang w:eastAsia="de-DE"/>
        </w:rPr>
      </w:pPr>
      <w:r w:rsidRPr="00604964">
        <w:rPr>
          <w:rFonts w:ascii="Arial" w:hAnsi="Arial" w:cs="Arial"/>
          <w:b/>
          <w:bCs/>
          <w:color w:val="002060"/>
          <w:sz w:val="16"/>
          <w:szCs w:val="16"/>
          <w:u w:val="single"/>
          <w:lang w:eastAsia="de-DE"/>
        </w:rPr>
        <w:t>Siehe:</w:t>
      </w:r>
    </w:p>
    <w:p w:rsidR="00B21473" w:rsidRPr="00B21473" w:rsidRDefault="00B21473" w:rsidP="00080D74">
      <w:pPr>
        <w:rPr>
          <w:rFonts w:ascii="Arial" w:hAnsi="Arial" w:cs="Arial"/>
          <w:bCs/>
          <w:sz w:val="16"/>
          <w:szCs w:val="16"/>
          <w:lang w:eastAsia="de-DE"/>
        </w:rPr>
      </w:pPr>
      <w:hyperlink r:id="rId22" w:history="1">
        <w:r w:rsidRPr="00B21473">
          <w:rPr>
            <w:rStyle w:val="Hyperlink"/>
            <w:rFonts w:ascii="Arial" w:hAnsi="Arial" w:cs="Arial"/>
            <w:bCs/>
            <w:sz w:val="16"/>
            <w:szCs w:val="16"/>
            <w:lang w:eastAsia="de-DE"/>
          </w:rPr>
          <w:t>https://www.sit.de/lagsh/ehome.nsf/E7F2B8E212727D9DC12582520042A62F/$file/U_3Ca2041b-17_19-12-2017_L%C3%BCbeck.pdf</w:t>
        </w:r>
      </w:hyperlink>
    </w:p>
    <w:p w:rsidR="00B21473" w:rsidRDefault="00B21473" w:rsidP="00080D74">
      <w:pPr>
        <w:rPr>
          <w:rFonts w:ascii="Arial" w:hAnsi="Arial" w:cs="Arial"/>
          <w:bCs/>
          <w:sz w:val="20"/>
          <w:szCs w:val="20"/>
          <w:lang w:eastAsia="de-DE"/>
        </w:rPr>
      </w:pPr>
    </w:p>
    <w:p w:rsidR="00B21473" w:rsidRPr="00B21473" w:rsidRDefault="00B21473" w:rsidP="00B21473">
      <w:pPr>
        <w:jc w:val="center"/>
        <w:rPr>
          <w:rFonts w:ascii="Arial" w:hAnsi="Arial" w:cs="Arial"/>
          <w:b/>
          <w:bCs/>
          <w:sz w:val="20"/>
          <w:szCs w:val="20"/>
          <w:lang w:eastAsia="de-DE"/>
        </w:rPr>
      </w:pPr>
      <w:r w:rsidRPr="00B21473">
        <w:rPr>
          <w:rFonts w:ascii="Arial" w:hAnsi="Arial" w:cs="Arial"/>
          <w:b/>
          <w:bCs/>
          <w:sz w:val="20"/>
          <w:szCs w:val="20"/>
          <w:lang w:eastAsia="de-DE"/>
        </w:rPr>
        <w:t>XIX.</w:t>
      </w:r>
    </w:p>
    <w:p w:rsidR="00B21473" w:rsidRPr="00B21473" w:rsidRDefault="00B21473" w:rsidP="00B21473">
      <w:pPr>
        <w:jc w:val="center"/>
        <w:rPr>
          <w:rFonts w:ascii="Arial" w:hAnsi="Arial" w:cs="Arial"/>
          <w:b/>
          <w:bCs/>
          <w:sz w:val="20"/>
          <w:szCs w:val="20"/>
          <w:lang w:eastAsia="de-DE"/>
        </w:rPr>
      </w:pPr>
      <w:r w:rsidRPr="00B21473">
        <w:rPr>
          <w:rFonts w:ascii="Arial" w:hAnsi="Arial" w:cs="Arial"/>
          <w:b/>
          <w:bCs/>
          <w:sz w:val="20"/>
          <w:szCs w:val="20"/>
          <w:lang w:eastAsia="de-DE"/>
        </w:rPr>
        <w:t>Herausgabe, Entwicklungsbericht, Betreuer, Aufgabenkreis, Einsichtsrecht, Werkstatt für behinderte Menschen, Werkstattverhältnis</w:t>
      </w:r>
    </w:p>
    <w:p w:rsidR="00B21473" w:rsidRDefault="00B21473" w:rsidP="00D56E72">
      <w:pPr>
        <w:jc w:val="center"/>
        <w:rPr>
          <w:rFonts w:ascii="Arial" w:hAnsi="Arial" w:cs="Arial"/>
          <w:bCs/>
          <w:sz w:val="20"/>
          <w:szCs w:val="20"/>
          <w:lang w:eastAsia="de-DE"/>
        </w:rPr>
      </w:pPr>
      <w:r w:rsidRPr="00B21473">
        <w:rPr>
          <w:rFonts w:ascii="Arial" w:hAnsi="Arial" w:cs="Arial"/>
          <w:bCs/>
          <w:sz w:val="20"/>
          <w:szCs w:val="20"/>
          <w:lang w:eastAsia="de-DE"/>
        </w:rPr>
        <w:t>LAG Schleswig-Holstein</w:t>
      </w:r>
      <w:r>
        <w:rPr>
          <w:rFonts w:ascii="Arial" w:hAnsi="Arial" w:cs="Arial"/>
          <w:bCs/>
          <w:sz w:val="20"/>
          <w:szCs w:val="20"/>
          <w:lang w:eastAsia="de-DE"/>
        </w:rPr>
        <w:t xml:space="preserve">, </w:t>
      </w:r>
      <w:r w:rsidR="00D56E72">
        <w:rPr>
          <w:rFonts w:ascii="Arial" w:hAnsi="Arial" w:cs="Arial"/>
          <w:bCs/>
          <w:sz w:val="20"/>
          <w:szCs w:val="20"/>
          <w:lang w:eastAsia="de-DE"/>
        </w:rPr>
        <w:t xml:space="preserve">Urteil vom 13.12.2017, Az. </w:t>
      </w:r>
      <w:r w:rsidR="00D56E72" w:rsidRPr="00D56E72">
        <w:rPr>
          <w:rFonts w:ascii="Arial" w:hAnsi="Arial" w:cs="Arial"/>
          <w:bCs/>
          <w:sz w:val="20"/>
          <w:szCs w:val="20"/>
          <w:lang w:eastAsia="de-DE"/>
        </w:rPr>
        <w:t>6 Sa 325/17</w:t>
      </w:r>
    </w:p>
    <w:p w:rsidR="00D56E72" w:rsidRDefault="00D56E72" w:rsidP="00D56E72">
      <w:pPr>
        <w:jc w:val="both"/>
        <w:rPr>
          <w:rFonts w:ascii="Arial" w:hAnsi="Arial" w:cs="Arial"/>
          <w:bCs/>
          <w:sz w:val="20"/>
          <w:szCs w:val="20"/>
          <w:lang w:eastAsia="de-DE"/>
        </w:rPr>
      </w:pPr>
    </w:p>
    <w:p w:rsidR="00D56E72" w:rsidRPr="00D56E72" w:rsidRDefault="00D56E72" w:rsidP="00D56E72">
      <w:pPr>
        <w:jc w:val="both"/>
        <w:rPr>
          <w:rFonts w:ascii="Arial" w:hAnsi="Arial" w:cs="Arial"/>
          <w:bCs/>
          <w:sz w:val="20"/>
          <w:szCs w:val="20"/>
          <w:lang w:eastAsia="de-DE"/>
        </w:rPr>
      </w:pPr>
      <w:r w:rsidRPr="00D56E72">
        <w:rPr>
          <w:rFonts w:ascii="Arial" w:hAnsi="Arial" w:cs="Arial"/>
          <w:bCs/>
          <w:sz w:val="20"/>
          <w:szCs w:val="20"/>
          <w:lang w:eastAsia="de-DE"/>
        </w:rPr>
        <w:t>Die Parteien streiten darüber, ob die Beklagte dem Betreuer des Klägers als dessen gesetzlicher Vertreter einen Entwicklungsbericht herausgeben bzw. ihm Einsicht in den Bericht gewähren muss.</w:t>
      </w:r>
    </w:p>
    <w:p w:rsidR="00D56E72" w:rsidRPr="00D56E72" w:rsidRDefault="00D56E72" w:rsidP="00D56E72">
      <w:pPr>
        <w:jc w:val="both"/>
        <w:rPr>
          <w:rFonts w:ascii="Arial" w:hAnsi="Arial" w:cs="Arial"/>
          <w:bCs/>
          <w:sz w:val="20"/>
          <w:szCs w:val="20"/>
          <w:lang w:eastAsia="de-DE"/>
        </w:rPr>
      </w:pPr>
      <w:r w:rsidRPr="00D56E72">
        <w:rPr>
          <w:rFonts w:ascii="Arial" w:hAnsi="Arial" w:cs="Arial"/>
          <w:bCs/>
          <w:sz w:val="20"/>
          <w:szCs w:val="20"/>
          <w:lang w:eastAsia="de-DE"/>
        </w:rPr>
        <w:t>Die Beklagte betreibt mehrere Behindertenwerkstätten gemäß SGB IX. Der Kläger wurde auf Grundlage des Werkstattvertrags vom 10.06.2011 im Rahmen der Eingliederungshilfe in der Werkstatt in B. O. beschäftigt (Anlage K 7 = Bl. 54 ff. d. A.). In § 10 des Werkstattvertrages heißt es:</w:t>
      </w:r>
    </w:p>
    <w:p w:rsidR="00D56E72" w:rsidRPr="00D56E72" w:rsidRDefault="00D56E72" w:rsidP="00D56E72">
      <w:pPr>
        <w:jc w:val="both"/>
        <w:rPr>
          <w:rFonts w:ascii="Arial" w:hAnsi="Arial" w:cs="Arial"/>
          <w:bCs/>
          <w:sz w:val="20"/>
          <w:szCs w:val="20"/>
          <w:lang w:eastAsia="de-DE"/>
        </w:rPr>
      </w:pPr>
      <w:r w:rsidRPr="00D56E72">
        <w:rPr>
          <w:rFonts w:ascii="Arial" w:hAnsi="Arial" w:cs="Arial"/>
          <w:bCs/>
          <w:sz w:val="20"/>
          <w:szCs w:val="20"/>
          <w:lang w:eastAsia="de-DE"/>
        </w:rPr>
        <w:t>„Schweigepflicht und Datenschutz</w:t>
      </w:r>
    </w:p>
    <w:p w:rsidR="00D56E72" w:rsidRPr="00D56E72" w:rsidRDefault="00D56E72" w:rsidP="00D56E72">
      <w:pPr>
        <w:jc w:val="both"/>
        <w:rPr>
          <w:rFonts w:ascii="Arial" w:hAnsi="Arial" w:cs="Arial"/>
          <w:bCs/>
          <w:sz w:val="20"/>
          <w:szCs w:val="20"/>
          <w:lang w:eastAsia="de-DE"/>
        </w:rPr>
      </w:pPr>
      <w:r w:rsidRPr="00D56E72">
        <w:rPr>
          <w:rFonts w:ascii="Arial" w:hAnsi="Arial" w:cs="Arial"/>
          <w:bCs/>
          <w:sz w:val="20"/>
          <w:szCs w:val="20"/>
          <w:lang w:eastAsia="de-DE"/>
        </w:rPr>
        <w:t>1. Die Werkstatt verpflichtet sich, den Datenschutz und die Schweigepflicht bezüglich der persönlichen Daten des Beschäftigten zu wahren.</w:t>
      </w:r>
    </w:p>
    <w:p w:rsidR="00D56E72" w:rsidRPr="00D56E72" w:rsidRDefault="00D56E72" w:rsidP="00D56E72">
      <w:pPr>
        <w:jc w:val="both"/>
        <w:rPr>
          <w:rFonts w:ascii="Arial" w:hAnsi="Arial" w:cs="Arial"/>
          <w:bCs/>
          <w:sz w:val="20"/>
          <w:szCs w:val="20"/>
          <w:lang w:eastAsia="de-DE"/>
        </w:rPr>
      </w:pPr>
      <w:r w:rsidRPr="00D56E72">
        <w:rPr>
          <w:rFonts w:ascii="Arial" w:hAnsi="Arial" w:cs="Arial"/>
          <w:bCs/>
          <w:sz w:val="20"/>
          <w:szCs w:val="20"/>
          <w:lang w:eastAsia="de-DE"/>
        </w:rPr>
        <w:t>2. Der Beschäftigte kann Einsicht in seine Personalakten/Betreuungsdokumentation erhalten.</w:t>
      </w:r>
    </w:p>
    <w:p w:rsidR="00D56E72" w:rsidRPr="00D56E72" w:rsidRDefault="00D56E72" w:rsidP="00D56E72">
      <w:pPr>
        <w:jc w:val="both"/>
        <w:rPr>
          <w:rFonts w:ascii="Arial" w:hAnsi="Arial" w:cs="Arial"/>
          <w:bCs/>
          <w:sz w:val="20"/>
          <w:szCs w:val="20"/>
          <w:lang w:eastAsia="de-DE"/>
        </w:rPr>
      </w:pPr>
      <w:r w:rsidRPr="00D56E72">
        <w:rPr>
          <w:rFonts w:ascii="Arial" w:hAnsi="Arial" w:cs="Arial"/>
          <w:bCs/>
          <w:sz w:val="20"/>
          <w:szCs w:val="20"/>
          <w:lang w:eastAsia="de-DE"/>
        </w:rPr>
        <w:t>3. Sofern es im Einzelfall erforderlich ist, entbindet der Beschäftigte durch gesonderte Erklärung die betroffenen Stellen (Arzt, Agentur für Arbeit, Gutachter, etc.) von deren Schweigepflicht. Das Notfallblatt kann an den Arzt, die Leistungs- und Befähigungsberichte können an den Sozialversicherungsträger herausgegeben werden.</w:t>
      </w:r>
    </w:p>
    <w:p w:rsidR="00D56E72" w:rsidRPr="00D56E72" w:rsidRDefault="00D56E72" w:rsidP="00D56E72">
      <w:pPr>
        <w:jc w:val="both"/>
        <w:rPr>
          <w:rFonts w:ascii="Arial" w:hAnsi="Arial" w:cs="Arial"/>
          <w:bCs/>
          <w:sz w:val="20"/>
          <w:szCs w:val="20"/>
          <w:lang w:eastAsia="de-DE"/>
        </w:rPr>
      </w:pPr>
      <w:r w:rsidRPr="00D56E72">
        <w:rPr>
          <w:rFonts w:ascii="Arial" w:hAnsi="Arial" w:cs="Arial"/>
          <w:bCs/>
          <w:sz w:val="20"/>
          <w:szCs w:val="20"/>
          <w:lang w:eastAsia="de-DE"/>
        </w:rPr>
        <w:t>4. Die Weitergabe personenbezogener Daten darf nur mit Zustimmung des Beschäftigten erfolgen, soweit nicht gesetzliche Regelungen die Weitergabe erforderlich machen.“</w:t>
      </w:r>
    </w:p>
    <w:p w:rsidR="00B21473" w:rsidRDefault="00B21473" w:rsidP="00080D74">
      <w:pPr>
        <w:rPr>
          <w:rFonts w:ascii="Arial" w:hAnsi="Arial" w:cs="Arial"/>
          <w:bCs/>
          <w:sz w:val="20"/>
          <w:szCs w:val="20"/>
          <w:lang w:eastAsia="de-DE"/>
        </w:rPr>
      </w:pPr>
    </w:p>
    <w:p w:rsidR="0073314B" w:rsidRPr="00604964" w:rsidRDefault="0073314B" w:rsidP="0073314B">
      <w:pPr>
        <w:jc w:val="both"/>
        <w:rPr>
          <w:rFonts w:ascii="Arial" w:hAnsi="Arial" w:cs="Arial"/>
          <w:b/>
          <w:bCs/>
          <w:color w:val="002060"/>
          <w:sz w:val="16"/>
          <w:szCs w:val="16"/>
          <w:u w:val="single"/>
          <w:lang w:eastAsia="de-DE"/>
        </w:rPr>
      </w:pPr>
      <w:r w:rsidRPr="00604964">
        <w:rPr>
          <w:rFonts w:ascii="Arial" w:hAnsi="Arial" w:cs="Arial"/>
          <w:b/>
          <w:bCs/>
          <w:color w:val="002060"/>
          <w:sz w:val="16"/>
          <w:szCs w:val="16"/>
          <w:u w:val="single"/>
          <w:lang w:eastAsia="de-DE"/>
        </w:rPr>
        <w:t>Siehe:</w:t>
      </w:r>
    </w:p>
    <w:p w:rsidR="00D56E72" w:rsidRDefault="00D56E72" w:rsidP="00080D74">
      <w:pPr>
        <w:rPr>
          <w:rFonts w:ascii="Arial" w:hAnsi="Arial" w:cs="Arial"/>
          <w:bCs/>
          <w:sz w:val="16"/>
          <w:szCs w:val="16"/>
          <w:lang w:eastAsia="de-DE"/>
        </w:rPr>
      </w:pPr>
      <w:hyperlink r:id="rId23" w:history="1">
        <w:r w:rsidRPr="00161BED">
          <w:rPr>
            <w:rStyle w:val="Hyperlink"/>
            <w:rFonts w:ascii="Arial" w:hAnsi="Arial" w:cs="Arial"/>
            <w:bCs/>
            <w:sz w:val="16"/>
            <w:szCs w:val="16"/>
            <w:lang w:eastAsia="de-DE"/>
          </w:rPr>
          <w:t>https://www.sit.de/lagsh/ehome.nsf/A47781410C1E3163C1258250004939F1/$file/U_6Sa325-17_13-12-2017.pdf</w:t>
        </w:r>
      </w:hyperlink>
    </w:p>
    <w:p w:rsidR="0073314B" w:rsidRDefault="0073314B" w:rsidP="00D56E72">
      <w:pPr>
        <w:jc w:val="center"/>
        <w:rPr>
          <w:rFonts w:ascii="Arial" w:hAnsi="Arial" w:cs="Arial"/>
          <w:b/>
          <w:bCs/>
          <w:sz w:val="20"/>
          <w:szCs w:val="20"/>
          <w:lang w:eastAsia="de-DE"/>
        </w:rPr>
      </w:pPr>
    </w:p>
    <w:p w:rsidR="00D56E72" w:rsidRDefault="00D56E72" w:rsidP="00D56E72">
      <w:pPr>
        <w:jc w:val="center"/>
        <w:rPr>
          <w:rFonts w:ascii="Arial" w:hAnsi="Arial" w:cs="Arial"/>
          <w:b/>
          <w:bCs/>
          <w:sz w:val="20"/>
          <w:szCs w:val="20"/>
          <w:lang w:eastAsia="de-DE"/>
        </w:rPr>
      </w:pPr>
      <w:r w:rsidRPr="00D56E72">
        <w:rPr>
          <w:rFonts w:ascii="Arial" w:hAnsi="Arial" w:cs="Arial"/>
          <w:b/>
          <w:bCs/>
          <w:sz w:val="20"/>
          <w:szCs w:val="20"/>
          <w:lang w:eastAsia="de-DE"/>
        </w:rPr>
        <w:t>XX.</w:t>
      </w:r>
    </w:p>
    <w:p w:rsidR="00D56E72" w:rsidRDefault="00D56E72" w:rsidP="00D56E72">
      <w:pPr>
        <w:jc w:val="center"/>
        <w:rPr>
          <w:rFonts w:ascii="Arial" w:hAnsi="Arial" w:cs="Arial"/>
          <w:b/>
          <w:bCs/>
          <w:sz w:val="20"/>
          <w:szCs w:val="20"/>
          <w:lang w:eastAsia="de-DE"/>
        </w:rPr>
      </w:pPr>
      <w:r w:rsidRPr="00D56E72">
        <w:rPr>
          <w:rFonts w:ascii="Arial" w:hAnsi="Arial" w:cs="Arial"/>
          <w:b/>
          <w:bCs/>
          <w:sz w:val="20"/>
          <w:szCs w:val="20"/>
          <w:lang w:eastAsia="de-DE"/>
        </w:rPr>
        <w:t>Arbeitszeit, Umkleidezeit, Wegezeit, Rüstzeiten, Arbeitskleidung, Verschmutzung, Belastung mit Schadstoffen</w:t>
      </w:r>
    </w:p>
    <w:p w:rsidR="00D56E72" w:rsidRPr="00D56E72" w:rsidRDefault="00D56E72" w:rsidP="00D56E72">
      <w:pPr>
        <w:jc w:val="center"/>
        <w:rPr>
          <w:rFonts w:ascii="Arial" w:hAnsi="Arial" w:cs="Arial"/>
          <w:bCs/>
          <w:sz w:val="20"/>
          <w:szCs w:val="20"/>
          <w:lang w:eastAsia="de-DE"/>
        </w:rPr>
      </w:pPr>
      <w:r w:rsidRPr="00D56E72">
        <w:rPr>
          <w:rFonts w:ascii="Arial" w:hAnsi="Arial" w:cs="Arial"/>
          <w:bCs/>
          <w:sz w:val="20"/>
          <w:szCs w:val="20"/>
          <w:lang w:eastAsia="de-DE"/>
        </w:rPr>
        <w:t>LAG Schleswig-Holstein, Urteil vom 04.12.2018,</w:t>
      </w:r>
      <w:r w:rsidRPr="00D56E72">
        <w:rPr>
          <w:rFonts w:ascii="Arial" w:hAnsi="Arial" w:cs="Arial"/>
          <w:sz w:val="20"/>
          <w:szCs w:val="20"/>
          <w:lang w:eastAsia="de-DE"/>
        </w:rPr>
        <w:t xml:space="preserve"> </w:t>
      </w:r>
      <w:r>
        <w:rPr>
          <w:rFonts w:ascii="Arial" w:hAnsi="Arial" w:cs="Arial"/>
          <w:sz w:val="20"/>
          <w:szCs w:val="20"/>
          <w:lang w:eastAsia="de-DE"/>
        </w:rPr>
        <w:t xml:space="preserve">Az. </w:t>
      </w:r>
      <w:r w:rsidRPr="00D56E72">
        <w:rPr>
          <w:rFonts w:ascii="Arial" w:hAnsi="Arial" w:cs="Arial"/>
          <w:sz w:val="20"/>
          <w:szCs w:val="20"/>
          <w:lang w:eastAsia="de-DE"/>
        </w:rPr>
        <w:t>Sa 301/17</w:t>
      </w:r>
    </w:p>
    <w:p w:rsidR="00D56E72" w:rsidRDefault="00D56E72" w:rsidP="00D56E72">
      <w:pPr>
        <w:jc w:val="both"/>
        <w:rPr>
          <w:rFonts w:ascii="Arial" w:hAnsi="Arial" w:cs="Arial"/>
          <w:bCs/>
          <w:sz w:val="20"/>
          <w:szCs w:val="20"/>
          <w:lang w:eastAsia="de-DE"/>
        </w:rPr>
      </w:pPr>
    </w:p>
    <w:p w:rsidR="00D56E72" w:rsidRPr="00D56E72" w:rsidRDefault="00D56E72" w:rsidP="00D56E72">
      <w:pPr>
        <w:jc w:val="both"/>
        <w:rPr>
          <w:rFonts w:ascii="Arial" w:hAnsi="Arial" w:cs="Arial"/>
          <w:bCs/>
          <w:sz w:val="20"/>
          <w:szCs w:val="20"/>
          <w:lang w:eastAsia="de-DE"/>
        </w:rPr>
      </w:pPr>
      <w:r w:rsidRPr="00D56E72">
        <w:rPr>
          <w:rFonts w:ascii="Arial" w:hAnsi="Arial" w:cs="Arial"/>
          <w:bCs/>
          <w:sz w:val="20"/>
          <w:szCs w:val="20"/>
          <w:lang w:eastAsia="de-DE"/>
        </w:rPr>
        <w:t>Die Parteien streiten darüber, ob Umkleide- und Wegezeiten des Klägers von der Beklagten als vergütungspflichtige Arbeitszeit zu behandeln sind.</w:t>
      </w:r>
    </w:p>
    <w:p w:rsidR="00D56E72" w:rsidRPr="00D56E72" w:rsidRDefault="00D56E72" w:rsidP="00D56E72">
      <w:pPr>
        <w:jc w:val="both"/>
        <w:rPr>
          <w:rFonts w:ascii="Arial" w:hAnsi="Arial" w:cs="Arial"/>
          <w:bCs/>
          <w:sz w:val="20"/>
          <w:szCs w:val="20"/>
          <w:lang w:eastAsia="de-DE"/>
        </w:rPr>
      </w:pPr>
      <w:r w:rsidRPr="00D56E72">
        <w:rPr>
          <w:rFonts w:ascii="Arial" w:hAnsi="Arial" w:cs="Arial"/>
          <w:bCs/>
          <w:sz w:val="20"/>
          <w:szCs w:val="20"/>
          <w:lang w:eastAsia="de-DE"/>
        </w:rPr>
        <w:t>Die Beklagte betreibt in S. eine thermische Abfallbehandlungsanlage zur umwelt-freundlichen Energiegewinnung. Pro Jahr werden ca. 350.000 t Abfall aus der Umgebung verwertet. Der angelieferte Abfall wird im sogenannten Abfallbunker gesammelt und zwischengelagert, mittels eines Krans durchmischt und von diesem kontinuierlich in einen Trichter gegeben, von dem aus er in eine der beiden Verbrennungslinien gelangt.</w:t>
      </w:r>
    </w:p>
    <w:p w:rsidR="00D56E72" w:rsidRDefault="00D56E72" w:rsidP="00D56E72">
      <w:pPr>
        <w:jc w:val="both"/>
        <w:rPr>
          <w:rFonts w:ascii="Arial" w:hAnsi="Arial" w:cs="Arial"/>
          <w:bCs/>
          <w:sz w:val="20"/>
          <w:szCs w:val="20"/>
          <w:lang w:eastAsia="de-DE"/>
        </w:rPr>
      </w:pPr>
      <w:r w:rsidRPr="00D56E72">
        <w:rPr>
          <w:rFonts w:ascii="Arial" w:hAnsi="Arial" w:cs="Arial"/>
          <w:bCs/>
          <w:sz w:val="20"/>
          <w:szCs w:val="20"/>
          <w:lang w:eastAsia="de-DE"/>
        </w:rPr>
        <w:t>Der Kläger ist bei der Beklagten seit dem 01.04.1993 als Betriebswerker auf Grund-lage eines schriftlichen Arbeitsvertrags (Bl. 169 f d. A.) beschäftigt. Entgegen der An-gabe in diesem Arbeitsvertrag findet auf das Arbeitsverhältnis unstreitig der TV-AVH Anwendung. Der Kläger arbeitet im Schichtbetrieb. Die von der Beklagten vergütete Arbeitszeit beginnt mit dem Betreten der Schaltwarte, in der die Übergabe von der vorherigen Schicht erfolgt. Dort endet sie nach der Übergabe an die Folgeschicht auch. Die Beklagte teilt dem Kläger monatlich auf einem Arbeitszeitnachweis u.a. den Stand seines Überstundenkontos mit.</w:t>
      </w:r>
    </w:p>
    <w:p w:rsidR="00D56E72" w:rsidRDefault="00D56E72" w:rsidP="00D56E72">
      <w:pPr>
        <w:jc w:val="both"/>
        <w:rPr>
          <w:rFonts w:ascii="Arial" w:hAnsi="Arial" w:cs="Arial"/>
          <w:bCs/>
          <w:sz w:val="20"/>
          <w:szCs w:val="20"/>
          <w:lang w:eastAsia="de-DE"/>
        </w:rPr>
      </w:pPr>
    </w:p>
    <w:p w:rsidR="0073314B" w:rsidRPr="00604964" w:rsidRDefault="0073314B" w:rsidP="0073314B">
      <w:pPr>
        <w:jc w:val="both"/>
        <w:rPr>
          <w:rFonts w:ascii="Arial" w:hAnsi="Arial" w:cs="Arial"/>
          <w:b/>
          <w:bCs/>
          <w:color w:val="002060"/>
          <w:sz w:val="16"/>
          <w:szCs w:val="16"/>
          <w:u w:val="single"/>
          <w:lang w:eastAsia="de-DE"/>
        </w:rPr>
      </w:pPr>
      <w:r w:rsidRPr="00604964">
        <w:rPr>
          <w:rFonts w:ascii="Arial" w:hAnsi="Arial" w:cs="Arial"/>
          <w:b/>
          <w:bCs/>
          <w:color w:val="002060"/>
          <w:sz w:val="16"/>
          <w:szCs w:val="16"/>
          <w:u w:val="single"/>
          <w:lang w:eastAsia="de-DE"/>
        </w:rPr>
        <w:t>Siehe:</w:t>
      </w:r>
    </w:p>
    <w:p w:rsidR="00D56E72" w:rsidRDefault="00D56E72" w:rsidP="00D56E72">
      <w:pPr>
        <w:jc w:val="both"/>
        <w:rPr>
          <w:rFonts w:ascii="Arial" w:hAnsi="Arial" w:cs="Arial"/>
          <w:bCs/>
          <w:sz w:val="16"/>
          <w:szCs w:val="16"/>
          <w:lang w:eastAsia="de-DE"/>
        </w:rPr>
      </w:pPr>
      <w:hyperlink r:id="rId24" w:history="1">
        <w:r w:rsidRPr="00161BED">
          <w:rPr>
            <w:rStyle w:val="Hyperlink"/>
            <w:rFonts w:ascii="Arial" w:hAnsi="Arial" w:cs="Arial"/>
            <w:bCs/>
            <w:sz w:val="16"/>
            <w:szCs w:val="16"/>
            <w:lang w:eastAsia="de-DE"/>
          </w:rPr>
          <w:t>https://www.sit.de/lagsh/ehome.nsf/6360AE0B248A9ED2C125824E00212924/$file/U_1Sa301-17_04-12-2017.pdf</w:t>
        </w:r>
      </w:hyperlink>
    </w:p>
    <w:p w:rsidR="00D56E72" w:rsidRDefault="00D56E72" w:rsidP="00D56E72">
      <w:pPr>
        <w:jc w:val="both"/>
        <w:rPr>
          <w:rFonts w:ascii="Arial" w:hAnsi="Arial" w:cs="Arial"/>
          <w:bCs/>
          <w:sz w:val="20"/>
          <w:szCs w:val="20"/>
          <w:lang w:eastAsia="de-DE"/>
        </w:rPr>
      </w:pPr>
    </w:p>
    <w:p w:rsidR="00D56E72" w:rsidRPr="00D56E72" w:rsidRDefault="00D56E72" w:rsidP="00D56E72">
      <w:pPr>
        <w:jc w:val="center"/>
        <w:rPr>
          <w:rFonts w:ascii="Arial" w:hAnsi="Arial" w:cs="Arial"/>
          <w:b/>
          <w:bCs/>
          <w:sz w:val="20"/>
          <w:szCs w:val="20"/>
          <w:lang w:eastAsia="de-DE"/>
        </w:rPr>
      </w:pPr>
      <w:r w:rsidRPr="00D56E72">
        <w:rPr>
          <w:rFonts w:ascii="Arial" w:hAnsi="Arial" w:cs="Arial"/>
          <w:b/>
          <w:bCs/>
          <w:sz w:val="20"/>
          <w:szCs w:val="20"/>
          <w:lang w:eastAsia="de-DE"/>
        </w:rPr>
        <w:t>XXI.</w:t>
      </w:r>
    </w:p>
    <w:p w:rsidR="00D56E72" w:rsidRDefault="00D56E72" w:rsidP="00D56E72">
      <w:pPr>
        <w:jc w:val="center"/>
        <w:rPr>
          <w:rFonts w:ascii="Arial" w:hAnsi="Arial" w:cs="Arial"/>
          <w:b/>
          <w:bCs/>
          <w:sz w:val="20"/>
          <w:szCs w:val="20"/>
          <w:lang w:eastAsia="de-DE"/>
        </w:rPr>
      </w:pPr>
      <w:r w:rsidRPr="00D56E72">
        <w:rPr>
          <w:rFonts w:ascii="Arial" w:hAnsi="Arial" w:cs="Arial"/>
          <w:b/>
          <w:bCs/>
          <w:sz w:val="20"/>
          <w:szCs w:val="20"/>
          <w:lang w:eastAsia="de-DE"/>
        </w:rPr>
        <w:t>Eingruppierung, Tischler, Lehrmittelwerkstatt, Tätigkeitsmerkmale, Arbeiten, hochwertige, wertender Vergleich</w:t>
      </w:r>
    </w:p>
    <w:p w:rsidR="00D56E72" w:rsidRPr="00D56E72" w:rsidRDefault="00D56E72" w:rsidP="00D56E72">
      <w:pPr>
        <w:jc w:val="center"/>
        <w:rPr>
          <w:rFonts w:ascii="Arial" w:hAnsi="Arial" w:cs="Arial"/>
          <w:bCs/>
          <w:sz w:val="20"/>
          <w:szCs w:val="20"/>
          <w:lang w:eastAsia="de-DE"/>
        </w:rPr>
      </w:pPr>
      <w:r w:rsidRPr="00D56E72">
        <w:rPr>
          <w:rFonts w:ascii="Arial" w:hAnsi="Arial" w:cs="Arial"/>
          <w:bCs/>
          <w:sz w:val="20"/>
          <w:szCs w:val="20"/>
          <w:lang w:eastAsia="de-DE"/>
        </w:rPr>
        <w:t>LAG Schleswig-Holstein</w:t>
      </w:r>
      <w:r>
        <w:rPr>
          <w:rFonts w:ascii="Arial" w:hAnsi="Arial" w:cs="Arial"/>
          <w:bCs/>
          <w:sz w:val="20"/>
          <w:szCs w:val="20"/>
          <w:lang w:eastAsia="de-DE"/>
        </w:rPr>
        <w:t xml:space="preserve">, Urteil vom 13.12.2017, Az. </w:t>
      </w:r>
      <w:r w:rsidRPr="00D56E72">
        <w:rPr>
          <w:rFonts w:ascii="Arial" w:hAnsi="Arial" w:cs="Arial"/>
          <w:bCs/>
          <w:sz w:val="20"/>
          <w:szCs w:val="20"/>
          <w:lang w:eastAsia="de-DE"/>
        </w:rPr>
        <w:t>6 Sa 272/17</w:t>
      </w:r>
    </w:p>
    <w:p w:rsidR="00D56E72" w:rsidRPr="00D56E72" w:rsidRDefault="00D56E72" w:rsidP="00D56E72">
      <w:pPr>
        <w:jc w:val="both"/>
        <w:rPr>
          <w:rFonts w:ascii="Arial" w:hAnsi="Arial" w:cs="Arial"/>
          <w:bCs/>
          <w:sz w:val="20"/>
          <w:szCs w:val="20"/>
          <w:lang w:eastAsia="de-DE"/>
        </w:rPr>
      </w:pPr>
    </w:p>
    <w:p w:rsidR="00D56E72" w:rsidRPr="00D56E72" w:rsidRDefault="00D56E72" w:rsidP="00D56E72">
      <w:pPr>
        <w:jc w:val="both"/>
        <w:rPr>
          <w:rFonts w:ascii="Arial" w:hAnsi="Arial" w:cs="Arial"/>
          <w:bCs/>
          <w:sz w:val="20"/>
          <w:szCs w:val="20"/>
          <w:lang w:eastAsia="de-DE"/>
        </w:rPr>
      </w:pPr>
      <w:r w:rsidRPr="00D56E72">
        <w:rPr>
          <w:rFonts w:ascii="Arial" w:hAnsi="Arial" w:cs="Arial"/>
          <w:bCs/>
          <w:sz w:val="20"/>
          <w:szCs w:val="20"/>
          <w:lang w:eastAsia="de-DE"/>
        </w:rPr>
        <w:t>Die Parteien streiten über die richtige Eingruppierung des Klägers.</w:t>
      </w:r>
    </w:p>
    <w:p w:rsidR="00D56E72" w:rsidRPr="00D56E72" w:rsidRDefault="00D56E72" w:rsidP="00D56E72">
      <w:pPr>
        <w:jc w:val="both"/>
        <w:rPr>
          <w:rFonts w:ascii="Arial" w:hAnsi="Arial" w:cs="Arial"/>
          <w:bCs/>
          <w:sz w:val="20"/>
          <w:szCs w:val="20"/>
          <w:lang w:eastAsia="de-DE"/>
        </w:rPr>
      </w:pPr>
      <w:r w:rsidRPr="00D56E72">
        <w:rPr>
          <w:rFonts w:ascii="Arial" w:hAnsi="Arial" w:cs="Arial"/>
          <w:bCs/>
          <w:sz w:val="20"/>
          <w:szCs w:val="20"/>
          <w:lang w:eastAsia="de-DE"/>
        </w:rPr>
        <w:t>Der am … 1961 geborene Kläger ist gelernter Tischler und bei der Beklagten seit 1993 beschäftigt. Er arbeitet seit Oktober 2001 als Handwerker in der Lehrmittelwerk-statt der von der Beklagten betriebenen Bundespolizeiakademie. Der Kläger ist dort der einzige Tischler. Er fertigt Holzteile für Lehrmodelle, Lade- und Entladekisten, Transportkisten, Scheibenrahmen und andere Gegenstände bzw. setzt sie instand. Es wird zum einen auf die Lichtbilder im Anlagenkonvolut K 1 – 5 (Bl. 38 ff. d. A.) und zum anderen auf die Aufstellung des Klägers auf Bl. 54 f. d. A. Bezug genommen.</w:t>
      </w:r>
    </w:p>
    <w:p w:rsidR="00D56E72" w:rsidRDefault="00D56E72" w:rsidP="00D56E72">
      <w:pPr>
        <w:jc w:val="both"/>
        <w:rPr>
          <w:rFonts w:ascii="Arial" w:hAnsi="Arial" w:cs="Arial"/>
          <w:bCs/>
          <w:sz w:val="20"/>
          <w:szCs w:val="20"/>
          <w:lang w:eastAsia="de-DE"/>
        </w:rPr>
      </w:pPr>
      <w:r w:rsidRPr="00D56E72">
        <w:rPr>
          <w:rFonts w:ascii="Arial" w:hAnsi="Arial" w:cs="Arial"/>
          <w:bCs/>
          <w:sz w:val="20"/>
          <w:szCs w:val="20"/>
          <w:lang w:eastAsia="de-DE"/>
        </w:rPr>
        <w:t>Im Jahr 2016 erarbeitete die Beklagte eine Tätigkeitsdarstellung und –bewertung für den Arbeitsplatz des Klägers. Die Parteien sind sich e</w:t>
      </w:r>
      <w:r>
        <w:rPr>
          <w:rFonts w:ascii="Arial" w:hAnsi="Arial" w:cs="Arial"/>
          <w:bCs/>
          <w:sz w:val="20"/>
          <w:szCs w:val="20"/>
          <w:lang w:eastAsia="de-DE"/>
        </w:rPr>
        <w:t>inig, dass diese Darstellung be</w:t>
      </w:r>
      <w:r w:rsidRPr="00D56E72">
        <w:rPr>
          <w:rFonts w:ascii="Arial" w:hAnsi="Arial" w:cs="Arial"/>
          <w:bCs/>
          <w:sz w:val="20"/>
          <w:szCs w:val="20"/>
          <w:lang w:eastAsia="de-DE"/>
        </w:rPr>
        <w:t xml:space="preserve">reits seit Juli 2013 zutrifft. Auf die auf Seiten 2 und 3 beschriebenen Arbeitsvorgänge und ihre Zeitanteile wird Bezug genommen (Bl. 126 R und 127 d. A.). Neben dem Kläger beschäftigt die Beklagte an verschiedenen Standorten </w:t>
      </w:r>
    </w:p>
    <w:p w:rsidR="0073314B" w:rsidRDefault="0073314B" w:rsidP="0073314B">
      <w:pPr>
        <w:jc w:val="both"/>
        <w:rPr>
          <w:rFonts w:ascii="Arial" w:hAnsi="Arial" w:cs="Arial"/>
          <w:b/>
          <w:bCs/>
          <w:color w:val="002060"/>
          <w:sz w:val="16"/>
          <w:szCs w:val="16"/>
          <w:u w:val="single"/>
          <w:lang w:eastAsia="de-DE"/>
        </w:rPr>
      </w:pPr>
    </w:p>
    <w:p w:rsidR="0073314B" w:rsidRPr="00604964" w:rsidRDefault="0073314B" w:rsidP="0073314B">
      <w:pPr>
        <w:jc w:val="both"/>
        <w:rPr>
          <w:rFonts w:ascii="Arial" w:hAnsi="Arial" w:cs="Arial"/>
          <w:b/>
          <w:bCs/>
          <w:color w:val="002060"/>
          <w:sz w:val="16"/>
          <w:szCs w:val="16"/>
          <w:u w:val="single"/>
          <w:lang w:eastAsia="de-DE"/>
        </w:rPr>
      </w:pPr>
      <w:r w:rsidRPr="00604964">
        <w:rPr>
          <w:rFonts w:ascii="Arial" w:hAnsi="Arial" w:cs="Arial"/>
          <w:b/>
          <w:bCs/>
          <w:color w:val="002060"/>
          <w:sz w:val="16"/>
          <w:szCs w:val="16"/>
          <w:u w:val="single"/>
          <w:lang w:eastAsia="de-DE"/>
        </w:rPr>
        <w:t>Siehe:</w:t>
      </w:r>
    </w:p>
    <w:p w:rsidR="00D56E72" w:rsidRDefault="00D56E72" w:rsidP="00D56E72">
      <w:pPr>
        <w:jc w:val="both"/>
        <w:rPr>
          <w:rFonts w:ascii="Arial" w:hAnsi="Arial" w:cs="Arial"/>
          <w:bCs/>
          <w:sz w:val="16"/>
          <w:szCs w:val="16"/>
          <w:lang w:eastAsia="de-DE"/>
        </w:rPr>
      </w:pPr>
      <w:hyperlink r:id="rId25" w:history="1">
        <w:r w:rsidRPr="00161BED">
          <w:rPr>
            <w:rStyle w:val="Hyperlink"/>
            <w:rFonts w:ascii="Arial" w:hAnsi="Arial" w:cs="Arial"/>
            <w:bCs/>
            <w:sz w:val="16"/>
            <w:szCs w:val="16"/>
            <w:lang w:eastAsia="de-DE"/>
          </w:rPr>
          <w:t>https://www.sit.de/lagsh/ehome.nsf/ED0D86D7429E325FC125824E00212925/$file/U_6Sa272-17_13-12-2017.pdf</w:t>
        </w:r>
      </w:hyperlink>
    </w:p>
    <w:p w:rsidR="00D56E72" w:rsidRDefault="00D56E72" w:rsidP="00D56E72">
      <w:pPr>
        <w:jc w:val="both"/>
        <w:rPr>
          <w:rFonts w:ascii="Arial" w:hAnsi="Arial" w:cs="Arial"/>
          <w:bCs/>
          <w:sz w:val="20"/>
          <w:szCs w:val="20"/>
          <w:lang w:eastAsia="de-DE"/>
        </w:rPr>
      </w:pPr>
    </w:p>
    <w:p w:rsidR="0073314B" w:rsidRDefault="0073314B" w:rsidP="0073314B">
      <w:pPr>
        <w:jc w:val="center"/>
        <w:rPr>
          <w:rFonts w:ascii="Arial" w:hAnsi="Arial" w:cs="Arial"/>
          <w:b/>
          <w:bCs/>
          <w:sz w:val="20"/>
          <w:szCs w:val="20"/>
          <w:lang w:eastAsia="de-DE"/>
        </w:rPr>
      </w:pPr>
    </w:p>
    <w:p w:rsidR="00D56E72" w:rsidRDefault="0073314B" w:rsidP="0073314B">
      <w:pPr>
        <w:jc w:val="center"/>
        <w:rPr>
          <w:rFonts w:ascii="Arial" w:hAnsi="Arial" w:cs="Arial"/>
          <w:b/>
          <w:bCs/>
          <w:sz w:val="20"/>
          <w:szCs w:val="20"/>
          <w:lang w:eastAsia="de-DE"/>
        </w:rPr>
      </w:pPr>
      <w:r w:rsidRPr="0073314B">
        <w:rPr>
          <w:rFonts w:ascii="Arial" w:hAnsi="Arial" w:cs="Arial"/>
          <w:b/>
          <w:bCs/>
          <w:sz w:val="20"/>
          <w:szCs w:val="20"/>
          <w:lang w:eastAsia="de-DE"/>
        </w:rPr>
        <w:t>XXII.</w:t>
      </w:r>
    </w:p>
    <w:p w:rsidR="0073314B" w:rsidRDefault="0073314B" w:rsidP="0073314B">
      <w:pPr>
        <w:jc w:val="center"/>
        <w:rPr>
          <w:rFonts w:ascii="Arial" w:hAnsi="Arial" w:cs="Arial"/>
          <w:b/>
          <w:bCs/>
          <w:sz w:val="20"/>
          <w:szCs w:val="20"/>
          <w:lang w:eastAsia="de-DE"/>
        </w:rPr>
      </w:pPr>
      <w:r w:rsidRPr="0073314B">
        <w:rPr>
          <w:rFonts w:ascii="Arial" w:hAnsi="Arial" w:cs="Arial"/>
          <w:b/>
          <w:bCs/>
          <w:sz w:val="20"/>
          <w:szCs w:val="20"/>
          <w:lang w:eastAsia="de-DE"/>
        </w:rPr>
        <w:t>Vergütungsansprüche, Verzugslohn, Umfang, Provision</w:t>
      </w:r>
    </w:p>
    <w:p w:rsidR="0073314B" w:rsidRPr="0073314B" w:rsidRDefault="0073314B" w:rsidP="0073314B">
      <w:pPr>
        <w:jc w:val="center"/>
        <w:rPr>
          <w:rFonts w:ascii="Arial" w:hAnsi="Arial" w:cs="Arial"/>
          <w:bCs/>
          <w:sz w:val="20"/>
          <w:szCs w:val="20"/>
          <w:lang w:eastAsia="de-DE"/>
        </w:rPr>
      </w:pPr>
      <w:r w:rsidRPr="0073314B">
        <w:rPr>
          <w:rFonts w:ascii="Arial" w:hAnsi="Arial" w:cs="Arial"/>
          <w:bCs/>
          <w:sz w:val="20"/>
          <w:szCs w:val="20"/>
          <w:lang w:eastAsia="de-DE"/>
        </w:rPr>
        <w:t>LAG Schleswig-Holstein, Urteil vom 30.08.2017, Az. 6 Sa 229/16</w:t>
      </w:r>
    </w:p>
    <w:p w:rsidR="0073314B" w:rsidRDefault="0073314B" w:rsidP="0073314B">
      <w:pPr>
        <w:jc w:val="both"/>
        <w:rPr>
          <w:rFonts w:ascii="Arial" w:hAnsi="Arial" w:cs="Arial"/>
          <w:bCs/>
          <w:sz w:val="20"/>
          <w:szCs w:val="20"/>
          <w:lang w:eastAsia="de-DE"/>
        </w:rPr>
      </w:pPr>
    </w:p>
    <w:p w:rsidR="0073314B" w:rsidRPr="0073314B" w:rsidRDefault="0073314B" w:rsidP="0073314B">
      <w:pPr>
        <w:jc w:val="both"/>
        <w:rPr>
          <w:rFonts w:ascii="Arial" w:hAnsi="Arial" w:cs="Arial"/>
          <w:bCs/>
          <w:sz w:val="20"/>
          <w:szCs w:val="20"/>
          <w:lang w:eastAsia="de-DE"/>
        </w:rPr>
      </w:pPr>
      <w:r w:rsidRPr="0073314B">
        <w:rPr>
          <w:rFonts w:ascii="Arial" w:hAnsi="Arial" w:cs="Arial"/>
          <w:bCs/>
          <w:sz w:val="20"/>
          <w:szCs w:val="20"/>
          <w:lang w:eastAsia="de-DE"/>
        </w:rPr>
        <w:t>Die Parteien streiten um verschiedene Zahlungsansprüche.</w:t>
      </w:r>
    </w:p>
    <w:p w:rsidR="0073314B" w:rsidRDefault="0073314B" w:rsidP="0073314B">
      <w:pPr>
        <w:jc w:val="both"/>
        <w:rPr>
          <w:rFonts w:ascii="Arial" w:hAnsi="Arial" w:cs="Arial"/>
          <w:bCs/>
          <w:sz w:val="20"/>
          <w:szCs w:val="20"/>
          <w:lang w:eastAsia="de-DE"/>
        </w:rPr>
      </w:pPr>
      <w:r w:rsidRPr="0073314B">
        <w:rPr>
          <w:rFonts w:ascii="Arial" w:hAnsi="Arial" w:cs="Arial"/>
          <w:bCs/>
          <w:sz w:val="20"/>
          <w:szCs w:val="20"/>
          <w:lang w:eastAsia="de-DE"/>
        </w:rPr>
        <w:t>Die Klägerin trat am 15.01.2002 aufgrund schriftlichen Anstellungsvertrags (Anlage K 1 = Blatt 14 ff. der Akte) als Medizinprodukteberaterin in die Dienste der Firma C... M... A... GmbH (C...). Die C... wurde im Jahr 2013 auf die Beklagte verschmolzen und als B... U... „C...“ vollständig eingegliedert. Anlässlich der Verschmelzung schlossen die C... und der bei ihr gewählte Betriebsrat am 05.06.2013 einen Interessenausgleich und Sozialplan. Wegen des Inhalts wird auf die Anlage CMS 1 (Blatt 140 ff. der Akte) verwiesen. Das Arbeitsverhältnis der Klägerin ging in der zweiten Hälfte des Jahres 2013 im Wege des Betriebsübergangs auf die Beklagte über.</w:t>
      </w:r>
    </w:p>
    <w:p w:rsidR="0073314B" w:rsidRDefault="0073314B" w:rsidP="0073314B">
      <w:pPr>
        <w:jc w:val="both"/>
        <w:rPr>
          <w:rFonts w:ascii="Arial" w:hAnsi="Arial" w:cs="Arial"/>
          <w:b/>
          <w:bCs/>
          <w:color w:val="002060"/>
          <w:sz w:val="16"/>
          <w:szCs w:val="16"/>
          <w:u w:val="single"/>
          <w:lang w:eastAsia="de-DE"/>
        </w:rPr>
      </w:pPr>
    </w:p>
    <w:p w:rsidR="0073314B" w:rsidRPr="00604964" w:rsidRDefault="0073314B" w:rsidP="0073314B">
      <w:pPr>
        <w:jc w:val="both"/>
        <w:rPr>
          <w:rFonts w:ascii="Arial" w:hAnsi="Arial" w:cs="Arial"/>
          <w:b/>
          <w:bCs/>
          <w:color w:val="002060"/>
          <w:sz w:val="16"/>
          <w:szCs w:val="16"/>
          <w:u w:val="single"/>
          <w:lang w:eastAsia="de-DE"/>
        </w:rPr>
      </w:pPr>
      <w:r w:rsidRPr="00604964">
        <w:rPr>
          <w:rFonts w:ascii="Arial" w:hAnsi="Arial" w:cs="Arial"/>
          <w:b/>
          <w:bCs/>
          <w:color w:val="002060"/>
          <w:sz w:val="16"/>
          <w:szCs w:val="16"/>
          <w:u w:val="single"/>
          <w:lang w:eastAsia="de-DE"/>
        </w:rPr>
        <w:t>Siehe:</w:t>
      </w:r>
    </w:p>
    <w:p w:rsidR="0073314B" w:rsidRDefault="0073314B" w:rsidP="0073314B">
      <w:pPr>
        <w:jc w:val="both"/>
        <w:rPr>
          <w:rFonts w:ascii="Arial" w:hAnsi="Arial" w:cs="Arial"/>
          <w:bCs/>
          <w:sz w:val="16"/>
          <w:szCs w:val="16"/>
          <w:lang w:eastAsia="de-DE"/>
        </w:rPr>
      </w:pPr>
      <w:hyperlink r:id="rId26" w:history="1">
        <w:r w:rsidRPr="00161BED">
          <w:rPr>
            <w:rStyle w:val="Hyperlink"/>
            <w:rFonts w:ascii="Arial" w:hAnsi="Arial" w:cs="Arial"/>
            <w:bCs/>
            <w:sz w:val="16"/>
            <w:szCs w:val="16"/>
            <w:lang w:eastAsia="de-DE"/>
          </w:rPr>
          <w:t>https://www.sit.de/lagsh/ehome.nsf/096E3CD14B8A4B39C125824E00212926/$file/U_6Sa229-16_30-08-2017.pdf</w:t>
        </w:r>
      </w:hyperlink>
    </w:p>
    <w:p w:rsidR="0073314B" w:rsidRDefault="0073314B" w:rsidP="0073314B">
      <w:pPr>
        <w:jc w:val="both"/>
        <w:rPr>
          <w:rFonts w:ascii="Arial" w:hAnsi="Arial" w:cs="Arial"/>
          <w:bCs/>
          <w:sz w:val="20"/>
          <w:szCs w:val="20"/>
          <w:lang w:eastAsia="de-DE"/>
        </w:rPr>
      </w:pPr>
    </w:p>
    <w:p w:rsidR="0073314B" w:rsidRDefault="0073314B" w:rsidP="0073314B">
      <w:pPr>
        <w:jc w:val="both"/>
        <w:rPr>
          <w:rFonts w:ascii="Arial" w:hAnsi="Arial" w:cs="Arial"/>
          <w:bCs/>
          <w:sz w:val="20"/>
          <w:szCs w:val="20"/>
          <w:lang w:eastAsia="de-DE"/>
        </w:rPr>
      </w:pPr>
    </w:p>
    <w:p w:rsidR="0073314B" w:rsidRPr="0073314B" w:rsidRDefault="0073314B" w:rsidP="0073314B">
      <w:pPr>
        <w:jc w:val="both"/>
        <w:rPr>
          <w:rFonts w:ascii="Arial" w:hAnsi="Arial" w:cs="Arial"/>
          <w:bCs/>
          <w:sz w:val="20"/>
          <w:szCs w:val="20"/>
          <w:lang w:eastAsia="de-DE"/>
        </w:rPr>
      </w:pPr>
    </w:p>
    <w:p w:rsidR="00080D74" w:rsidRDefault="00080D74" w:rsidP="00080D74">
      <w:pPr>
        <w:rPr>
          <w:rFonts w:ascii="Arial" w:hAnsi="Arial" w:cs="Arial"/>
          <w:sz w:val="20"/>
          <w:szCs w:val="20"/>
          <w:lang w:eastAsia="de-DE"/>
        </w:rPr>
      </w:pPr>
      <w:r>
        <w:rPr>
          <w:rFonts w:ascii="Arial" w:hAnsi="Arial" w:cs="Arial"/>
          <w:sz w:val="20"/>
          <w:szCs w:val="20"/>
          <w:lang w:eastAsia="de-DE"/>
        </w:rPr>
        <w:t>Mit freundlichen kollegialen Grüßen</w:t>
      </w:r>
    </w:p>
    <w:p w:rsidR="00080D74" w:rsidRDefault="00080D74" w:rsidP="00080D74">
      <w:pPr>
        <w:rPr>
          <w:rFonts w:ascii="Arial" w:hAnsi="Arial" w:cs="Arial"/>
          <w:sz w:val="20"/>
          <w:szCs w:val="20"/>
          <w:lang w:eastAsia="de-DE"/>
        </w:rPr>
      </w:pPr>
      <w:r>
        <w:rPr>
          <w:rFonts w:ascii="Arial" w:hAnsi="Arial" w:cs="Arial"/>
          <w:sz w:val="20"/>
          <w:szCs w:val="20"/>
          <w:lang w:eastAsia="de-DE"/>
        </w:rPr>
        <w:t>Ihr</w:t>
      </w:r>
    </w:p>
    <w:p w:rsidR="00080D74" w:rsidRDefault="00080D74" w:rsidP="00080D74">
      <w:pPr>
        <w:rPr>
          <w:rFonts w:ascii="Arial" w:hAnsi="Arial" w:cs="Arial"/>
          <w:sz w:val="20"/>
          <w:szCs w:val="20"/>
          <w:lang w:eastAsia="de-DE"/>
        </w:rPr>
      </w:pPr>
    </w:p>
    <w:p w:rsidR="00080D74" w:rsidRDefault="00080D74" w:rsidP="00080D74">
      <w:pPr>
        <w:rPr>
          <w:rFonts w:ascii="Arial" w:hAnsi="Arial" w:cs="Arial"/>
          <w:sz w:val="20"/>
          <w:szCs w:val="20"/>
          <w:lang w:eastAsia="de-DE"/>
        </w:rPr>
      </w:pPr>
      <w:r>
        <w:rPr>
          <w:rFonts w:ascii="Arial" w:hAnsi="Arial" w:cs="Arial"/>
          <w:sz w:val="20"/>
          <w:szCs w:val="20"/>
          <w:lang w:eastAsia="de-DE"/>
        </w:rPr>
        <w:t>Michael Henn</w:t>
      </w:r>
    </w:p>
    <w:p w:rsidR="00080D74" w:rsidRDefault="00080D74" w:rsidP="00080D74">
      <w:pPr>
        <w:rPr>
          <w:rFonts w:ascii="Arial" w:hAnsi="Arial" w:cs="Arial"/>
          <w:sz w:val="20"/>
          <w:szCs w:val="20"/>
          <w:lang w:eastAsia="de-DE"/>
        </w:rPr>
      </w:pPr>
      <w:r>
        <w:rPr>
          <w:rFonts w:ascii="Arial" w:hAnsi="Arial" w:cs="Arial"/>
          <w:sz w:val="20"/>
          <w:szCs w:val="20"/>
          <w:lang w:eastAsia="de-DE"/>
        </w:rPr>
        <w:t>Rechtsanwalt/</w:t>
      </w:r>
    </w:p>
    <w:p w:rsidR="00080D74" w:rsidRDefault="00080D74" w:rsidP="00080D74">
      <w:pPr>
        <w:rPr>
          <w:rFonts w:ascii="Arial" w:hAnsi="Arial" w:cs="Arial"/>
          <w:sz w:val="20"/>
          <w:szCs w:val="20"/>
          <w:lang w:eastAsia="de-DE"/>
        </w:rPr>
      </w:pPr>
      <w:r>
        <w:rPr>
          <w:rFonts w:ascii="Arial" w:hAnsi="Arial" w:cs="Arial"/>
          <w:sz w:val="20"/>
          <w:szCs w:val="20"/>
          <w:lang w:eastAsia="de-DE"/>
        </w:rPr>
        <w:t>Fachanwalt für Arbeitsrecht/</w:t>
      </w:r>
    </w:p>
    <w:p w:rsidR="00080D74" w:rsidRDefault="00080D74" w:rsidP="00080D74">
      <w:pPr>
        <w:rPr>
          <w:rFonts w:ascii="Arial" w:hAnsi="Arial" w:cs="Arial"/>
          <w:sz w:val="20"/>
          <w:szCs w:val="20"/>
          <w:lang w:eastAsia="de-DE"/>
        </w:rPr>
      </w:pPr>
      <w:r>
        <w:rPr>
          <w:rFonts w:ascii="Arial" w:hAnsi="Arial" w:cs="Arial"/>
          <w:sz w:val="20"/>
          <w:szCs w:val="20"/>
          <w:lang w:eastAsia="de-DE"/>
        </w:rPr>
        <w:t>Fachanwalt für Erbrecht</w:t>
      </w:r>
    </w:p>
    <w:p w:rsidR="00080D74" w:rsidRDefault="00080D74" w:rsidP="00080D74">
      <w:pPr>
        <w:rPr>
          <w:rFonts w:ascii="Arial" w:hAnsi="Arial" w:cs="Arial"/>
          <w:sz w:val="20"/>
          <w:szCs w:val="20"/>
          <w:lang w:eastAsia="de-DE"/>
        </w:rPr>
      </w:pPr>
      <w:r>
        <w:rPr>
          <w:rFonts w:ascii="Arial" w:hAnsi="Arial" w:cs="Arial"/>
          <w:sz w:val="20"/>
          <w:szCs w:val="20"/>
          <w:lang w:eastAsia="de-DE"/>
        </w:rPr>
        <w:t xml:space="preserve">VDAA - Präsident </w:t>
      </w:r>
    </w:p>
    <w:p w:rsidR="00080D74" w:rsidRDefault="00080D74" w:rsidP="00080D74">
      <w:pPr>
        <w:rPr>
          <w:rFonts w:ascii="Arial" w:hAnsi="Arial" w:cs="Arial"/>
          <w:sz w:val="20"/>
          <w:szCs w:val="20"/>
          <w:lang w:eastAsia="de-DE"/>
        </w:rPr>
      </w:pPr>
    </w:p>
    <w:p w:rsidR="00080D74" w:rsidRDefault="00080D74" w:rsidP="00080D74">
      <w:pPr>
        <w:rPr>
          <w:rFonts w:ascii="Arial" w:hAnsi="Arial" w:cs="Arial"/>
          <w:color w:val="000000"/>
          <w:sz w:val="20"/>
          <w:szCs w:val="20"/>
          <w:lang w:eastAsia="de-DE"/>
        </w:rPr>
      </w:pPr>
      <w:r>
        <w:rPr>
          <w:rFonts w:ascii="Arial" w:hAnsi="Arial" w:cs="Arial"/>
          <w:color w:val="000000"/>
          <w:sz w:val="20"/>
          <w:szCs w:val="20"/>
          <w:lang w:eastAsia="de-DE"/>
        </w:rPr>
        <w:t> </w:t>
      </w:r>
    </w:p>
    <w:p w:rsidR="00080D74" w:rsidRDefault="00080D74" w:rsidP="00080D74">
      <w:pPr>
        <w:rPr>
          <w:rFonts w:ascii="Arial" w:hAnsi="Arial" w:cs="Arial"/>
          <w:b/>
          <w:bCs/>
          <w:color w:val="002060"/>
          <w:sz w:val="20"/>
          <w:szCs w:val="20"/>
          <w:lang w:eastAsia="de-DE"/>
        </w:rPr>
      </w:pPr>
      <w:r>
        <w:rPr>
          <w:rFonts w:ascii="Arial" w:hAnsi="Arial" w:cs="Arial"/>
          <w:b/>
          <w:bCs/>
          <w:color w:val="002060"/>
          <w:sz w:val="24"/>
          <w:szCs w:val="24"/>
          <w:lang w:eastAsia="de-DE"/>
        </w:rPr>
        <w:t>V</w:t>
      </w:r>
      <w:r>
        <w:rPr>
          <w:rFonts w:ascii="Arial" w:hAnsi="Arial" w:cs="Arial"/>
          <w:b/>
          <w:bCs/>
          <w:color w:val="002060"/>
          <w:sz w:val="20"/>
          <w:szCs w:val="20"/>
          <w:lang w:eastAsia="de-DE"/>
        </w:rPr>
        <w:t>DAA Verband deutscher ArbeitsrechtsAnwälte e. V.</w:t>
      </w:r>
    </w:p>
    <w:p w:rsidR="00080D74" w:rsidRDefault="00080D74" w:rsidP="00080D74">
      <w:pPr>
        <w:rPr>
          <w:rFonts w:ascii="Arial" w:hAnsi="Arial" w:cs="Arial"/>
          <w:b/>
          <w:bCs/>
          <w:color w:val="002060"/>
          <w:sz w:val="20"/>
          <w:szCs w:val="20"/>
          <w:lang w:eastAsia="de-DE"/>
        </w:rPr>
      </w:pPr>
      <w:r>
        <w:rPr>
          <w:rFonts w:ascii="Arial" w:hAnsi="Arial" w:cs="Arial"/>
          <w:b/>
          <w:bCs/>
          <w:color w:val="002060"/>
          <w:sz w:val="20"/>
          <w:szCs w:val="20"/>
          <w:lang w:eastAsia="de-DE"/>
        </w:rPr>
        <w:t>Kronprinzstr. 14</w:t>
      </w:r>
    </w:p>
    <w:p w:rsidR="00080D74" w:rsidRDefault="00080D74" w:rsidP="00080D74">
      <w:pPr>
        <w:rPr>
          <w:rFonts w:ascii="Arial" w:hAnsi="Arial" w:cs="Arial"/>
          <w:b/>
          <w:bCs/>
          <w:color w:val="002060"/>
          <w:sz w:val="20"/>
          <w:szCs w:val="20"/>
          <w:lang w:eastAsia="de-DE"/>
        </w:rPr>
      </w:pPr>
      <w:r>
        <w:rPr>
          <w:rFonts w:ascii="Arial" w:hAnsi="Arial" w:cs="Arial"/>
          <w:b/>
          <w:bCs/>
          <w:color w:val="002060"/>
          <w:sz w:val="20"/>
          <w:szCs w:val="20"/>
          <w:lang w:eastAsia="de-DE"/>
        </w:rPr>
        <w:t>70173 Stuttgart</w:t>
      </w:r>
    </w:p>
    <w:p w:rsidR="00080D74" w:rsidRDefault="00080D74" w:rsidP="00080D74">
      <w:pPr>
        <w:rPr>
          <w:rFonts w:ascii="Arial" w:hAnsi="Arial" w:cs="Arial"/>
          <w:b/>
          <w:bCs/>
          <w:color w:val="002060"/>
          <w:sz w:val="20"/>
          <w:szCs w:val="20"/>
          <w:lang w:eastAsia="de-DE"/>
        </w:rPr>
      </w:pPr>
      <w:r>
        <w:rPr>
          <w:rFonts w:ascii="Arial" w:hAnsi="Arial" w:cs="Arial"/>
          <w:b/>
          <w:bCs/>
          <w:color w:val="002060"/>
          <w:sz w:val="20"/>
          <w:szCs w:val="20"/>
          <w:lang w:eastAsia="de-DE"/>
        </w:rPr>
        <w:t>Tel.: 0711 – 3058 9320</w:t>
      </w:r>
    </w:p>
    <w:p w:rsidR="00080D74" w:rsidRDefault="00080D74" w:rsidP="00080D74">
      <w:pPr>
        <w:rPr>
          <w:rFonts w:ascii="Arial" w:hAnsi="Arial" w:cs="Arial"/>
          <w:b/>
          <w:bCs/>
          <w:color w:val="002060"/>
          <w:sz w:val="20"/>
          <w:szCs w:val="20"/>
          <w:lang w:eastAsia="de-DE"/>
        </w:rPr>
      </w:pPr>
      <w:r>
        <w:rPr>
          <w:rFonts w:ascii="Arial" w:hAnsi="Arial" w:cs="Arial"/>
          <w:b/>
          <w:bCs/>
          <w:color w:val="002060"/>
          <w:sz w:val="20"/>
          <w:szCs w:val="20"/>
          <w:lang w:eastAsia="de-DE"/>
        </w:rPr>
        <w:t>Fax: 0711 -  3058 9311</w:t>
      </w:r>
    </w:p>
    <w:p w:rsidR="00080D74" w:rsidRDefault="00080D74" w:rsidP="00080D74">
      <w:pPr>
        <w:rPr>
          <w:rFonts w:ascii="Arial" w:hAnsi="Arial" w:cs="Arial"/>
          <w:b/>
          <w:bCs/>
          <w:color w:val="002060"/>
          <w:sz w:val="20"/>
          <w:szCs w:val="20"/>
          <w:lang w:eastAsia="de-DE"/>
        </w:rPr>
      </w:pPr>
      <w:r>
        <w:rPr>
          <w:rFonts w:ascii="Arial" w:hAnsi="Arial" w:cs="Arial"/>
          <w:b/>
          <w:bCs/>
          <w:color w:val="002060"/>
          <w:sz w:val="20"/>
          <w:szCs w:val="20"/>
          <w:lang w:eastAsia="de-DE"/>
        </w:rPr>
        <w:t xml:space="preserve">Email: </w:t>
      </w:r>
      <w:hyperlink r:id="rId27" w:history="1">
        <w:r>
          <w:rPr>
            <w:rStyle w:val="Hyperlink"/>
            <w:rFonts w:ascii="Arial" w:hAnsi="Arial" w:cs="Arial"/>
            <w:b/>
            <w:bCs/>
            <w:color w:val="002060"/>
            <w:sz w:val="20"/>
            <w:szCs w:val="20"/>
            <w:lang w:eastAsia="de-DE"/>
          </w:rPr>
          <w:t>info@vdaa.de</w:t>
        </w:r>
      </w:hyperlink>
    </w:p>
    <w:p w:rsidR="00080D74" w:rsidRDefault="00080D74" w:rsidP="00080D74">
      <w:pPr>
        <w:rPr>
          <w:rFonts w:ascii="Arial" w:hAnsi="Arial" w:cs="Arial"/>
          <w:b/>
          <w:bCs/>
          <w:color w:val="002060"/>
          <w:sz w:val="20"/>
          <w:szCs w:val="20"/>
          <w:lang w:val="en-US" w:eastAsia="de-DE"/>
        </w:rPr>
      </w:pPr>
      <w:hyperlink r:id="rId28" w:history="1">
        <w:r>
          <w:rPr>
            <w:rStyle w:val="Hyperlink"/>
            <w:rFonts w:ascii="Arial" w:hAnsi="Arial" w:cs="Arial"/>
            <w:b/>
            <w:bCs/>
            <w:color w:val="002060"/>
            <w:sz w:val="20"/>
            <w:szCs w:val="20"/>
            <w:lang w:val="en-US" w:eastAsia="de-DE"/>
          </w:rPr>
          <w:t>www.vdaa.de</w:t>
        </w:r>
      </w:hyperlink>
    </w:p>
    <w:p w:rsidR="00080D74" w:rsidRDefault="00080D74" w:rsidP="00080D74"/>
    <w:p w:rsidR="00D32887" w:rsidRDefault="00D32887"/>
    <w:sectPr w:rsidR="00D32887">
      <w:head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47C" w:rsidRDefault="00F8147C" w:rsidP="0057440D">
      <w:r>
        <w:separator/>
      </w:r>
    </w:p>
  </w:endnote>
  <w:endnote w:type="continuationSeparator" w:id="0">
    <w:p w:rsidR="00F8147C" w:rsidRDefault="00F8147C" w:rsidP="0057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47C" w:rsidRDefault="00F8147C" w:rsidP="0057440D">
      <w:r>
        <w:separator/>
      </w:r>
    </w:p>
  </w:footnote>
  <w:footnote w:type="continuationSeparator" w:id="0">
    <w:p w:rsidR="00F8147C" w:rsidRDefault="00F8147C" w:rsidP="00574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0D" w:rsidRPr="00AB48CE" w:rsidRDefault="0057440D" w:rsidP="0057440D">
    <w:pPr>
      <w:tabs>
        <w:tab w:val="center" w:pos="4536"/>
        <w:tab w:val="right" w:pos="9072"/>
      </w:tabs>
      <w:jc w:val="center"/>
      <w:rPr>
        <w:rFonts w:ascii="Arial" w:hAnsi="Arial" w:cs="Arial"/>
        <w:b/>
        <w:bCs/>
        <w:sz w:val="28"/>
        <w:szCs w:val="28"/>
      </w:rPr>
    </w:pPr>
    <w:r w:rsidRPr="00AB48CE">
      <w:rPr>
        <w:rFonts w:ascii="Arial" w:hAnsi="Arial" w:cs="Arial"/>
        <w:b/>
        <w:bCs/>
        <w:sz w:val="28"/>
        <w:szCs w:val="28"/>
      </w:rPr>
      <w:t xml:space="preserve">VDAA- </w:t>
    </w:r>
    <w:r>
      <w:rPr>
        <w:rFonts w:ascii="Arial" w:hAnsi="Arial" w:cs="Arial"/>
        <w:b/>
        <w:bCs/>
        <w:sz w:val="28"/>
        <w:szCs w:val="28"/>
      </w:rPr>
      <w:t>Unternehmens</w:t>
    </w:r>
    <w:r w:rsidRPr="00AB48CE">
      <w:rPr>
        <w:rFonts w:ascii="Arial" w:hAnsi="Arial" w:cs="Arial"/>
        <w:b/>
        <w:bCs/>
        <w:sz w:val="28"/>
        <w:szCs w:val="28"/>
      </w:rPr>
      <w:t xml:space="preserve">depesche </w:t>
    </w:r>
    <w:r>
      <w:rPr>
        <w:rFonts w:ascii="Arial" w:hAnsi="Arial" w:cs="Arial"/>
        <w:b/>
        <w:bCs/>
        <w:sz w:val="28"/>
        <w:szCs w:val="28"/>
      </w:rPr>
      <w:t>03</w:t>
    </w:r>
    <w:r w:rsidRPr="00AB48CE">
      <w:rPr>
        <w:rFonts w:ascii="Arial" w:hAnsi="Arial" w:cs="Arial"/>
        <w:b/>
        <w:bCs/>
        <w:sz w:val="28"/>
        <w:szCs w:val="28"/>
      </w:rPr>
      <w:t>-201</w:t>
    </w:r>
    <w:r>
      <w:rPr>
        <w:rFonts w:ascii="Arial" w:hAnsi="Arial" w:cs="Arial"/>
        <w:b/>
        <w:bCs/>
        <w:sz w:val="28"/>
        <w:szCs w:val="28"/>
      </w:rPr>
      <w:t>8</w:t>
    </w:r>
  </w:p>
  <w:p w:rsidR="0057440D" w:rsidRDefault="005744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15A4"/>
    <w:multiLevelType w:val="hybridMultilevel"/>
    <w:tmpl w:val="5DA4E20C"/>
    <w:lvl w:ilvl="0" w:tplc="0407000F">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 w15:restartNumberingAfterBreak="0">
    <w:nsid w:val="0F86495B"/>
    <w:multiLevelType w:val="hybridMultilevel"/>
    <w:tmpl w:val="5282CD30"/>
    <w:lvl w:ilvl="0" w:tplc="04070017">
      <w:start w:val="1"/>
      <w:numFmt w:val="lowerLetter"/>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1B182ACF"/>
    <w:multiLevelType w:val="hybridMultilevel"/>
    <w:tmpl w:val="ECD89970"/>
    <w:lvl w:ilvl="0" w:tplc="9962F224">
      <w:start w:val="1"/>
      <w:numFmt w:val="upperRoman"/>
      <w:lvlText w:val="%1."/>
      <w:lvlJc w:val="left"/>
      <w:pPr>
        <w:ind w:left="1080" w:hanging="72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3" w15:restartNumberingAfterBreak="0">
    <w:nsid w:val="20940B72"/>
    <w:multiLevelType w:val="hybridMultilevel"/>
    <w:tmpl w:val="1556D2F4"/>
    <w:lvl w:ilvl="0" w:tplc="D438E57A">
      <w:start w:val="11"/>
      <w:numFmt w:val="bullet"/>
      <w:lvlText w:val="-"/>
      <w:lvlJc w:val="left"/>
      <w:pPr>
        <w:ind w:left="720" w:hanging="360"/>
      </w:pPr>
      <w:rPr>
        <w:rFonts w:ascii="Arial" w:eastAsia="Times New Roma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4" w15:restartNumberingAfterBreak="0">
    <w:nsid w:val="57996003"/>
    <w:multiLevelType w:val="hybridMultilevel"/>
    <w:tmpl w:val="CA78FE02"/>
    <w:lvl w:ilvl="0" w:tplc="83329490">
      <w:start w:val="4"/>
      <w:numFmt w:val="bullet"/>
      <w:lvlText w:val="-"/>
      <w:lvlJc w:val="left"/>
      <w:pPr>
        <w:ind w:left="720" w:hanging="360"/>
      </w:pPr>
      <w:rPr>
        <w:rFonts w:ascii="Arial" w:eastAsia="Times New Roman" w:hAnsi="Arial" w:hint="default"/>
      </w:rPr>
    </w:lvl>
    <w:lvl w:ilvl="1" w:tplc="53F2E536">
      <w:start w:val="1"/>
      <w:numFmt w:val="decimal"/>
      <w:lvlText w:val="%2."/>
      <w:lvlJc w:val="left"/>
      <w:pPr>
        <w:tabs>
          <w:tab w:val="num" w:pos="1440"/>
        </w:tabs>
        <w:ind w:left="1440" w:hanging="360"/>
      </w:pPr>
      <w:rPr>
        <w:rFonts w:ascii="Arial" w:eastAsia="Times New Roman" w:hAnsi="Arial" w:cs="Arial"/>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5" w15:restartNumberingAfterBreak="0">
    <w:nsid w:val="71B91CB0"/>
    <w:multiLevelType w:val="hybridMultilevel"/>
    <w:tmpl w:val="26D89F56"/>
    <w:lvl w:ilvl="0" w:tplc="3A320640">
      <w:start w:val="1"/>
      <w:numFmt w:val="upperRoman"/>
      <w:lvlText w:val="%1."/>
      <w:lvlJc w:val="left"/>
      <w:pPr>
        <w:ind w:left="1080" w:hanging="72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74"/>
    <w:rsid w:val="00080D74"/>
    <w:rsid w:val="00145896"/>
    <w:rsid w:val="00161BED"/>
    <w:rsid w:val="0057440D"/>
    <w:rsid w:val="005C1CB2"/>
    <w:rsid w:val="00604964"/>
    <w:rsid w:val="0073314B"/>
    <w:rsid w:val="009D45AC"/>
    <w:rsid w:val="009F01A9"/>
    <w:rsid w:val="00A52F10"/>
    <w:rsid w:val="00AB48CE"/>
    <w:rsid w:val="00B21473"/>
    <w:rsid w:val="00B53361"/>
    <w:rsid w:val="00B94A82"/>
    <w:rsid w:val="00D32887"/>
    <w:rsid w:val="00D56E72"/>
    <w:rsid w:val="00EC6D5D"/>
    <w:rsid w:val="00F8147C"/>
    <w:rsid w:val="00F83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718D70-64E7-4F30-84DD-C8E12C67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0D74"/>
    <w:pPr>
      <w:spacing w:after="0" w:line="240" w:lineRule="auto"/>
    </w:pPr>
    <w:rPr>
      <w:rFonts w:ascii="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0D74"/>
    <w:rPr>
      <w:rFonts w:cs="Times New Roman"/>
      <w:color w:val="0000FF"/>
      <w:u w:val="single"/>
    </w:rPr>
  </w:style>
  <w:style w:type="paragraph" w:styleId="Listenabsatz">
    <w:name w:val="List Paragraph"/>
    <w:basedOn w:val="Standard"/>
    <w:uiPriority w:val="34"/>
    <w:qFormat/>
    <w:rsid w:val="00080D74"/>
    <w:pPr>
      <w:ind w:left="720"/>
    </w:pPr>
  </w:style>
  <w:style w:type="paragraph" w:styleId="Kopfzeile">
    <w:name w:val="header"/>
    <w:basedOn w:val="Standard"/>
    <w:link w:val="KopfzeileZchn"/>
    <w:uiPriority w:val="99"/>
    <w:unhideWhenUsed/>
    <w:rsid w:val="0057440D"/>
    <w:pPr>
      <w:tabs>
        <w:tab w:val="center" w:pos="4536"/>
        <w:tab w:val="right" w:pos="9072"/>
      </w:tabs>
    </w:pPr>
  </w:style>
  <w:style w:type="character" w:customStyle="1" w:styleId="KopfzeileZchn">
    <w:name w:val="Kopfzeile Zchn"/>
    <w:basedOn w:val="Absatz-Standardschriftart"/>
    <w:link w:val="Kopfzeile"/>
    <w:uiPriority w:val="99"/>
    <w:locked/>
    <w:rsid w:val="0057440D"/>
    <w:rPr>
      <w:rFonts w:ascii="Calibri" w:hAnsi="Calibri" w:cs="Times New Roman"/>
    </w:rPr>
  </w:style>
  <w:style w:type="paragraph" w:styleId="Fuzeile">
    <w:name w:val="footer"/>
    <w:basedOn w:val="Standard"/>
    <w:link w:val="FuzeileZchn"/>
    <w:uiPriority w:val="99"/>
    <w:unhideWhenUsed/>
    <w:rsid w:val="0057440D"/>
    <w:pPr>
      <w:tabs>
        <w:tab w:val="center" w:pos="4536"/>
        <w:tab w:val="right" w:pos="9072"/>
      </w:tabs>
    </w:pPr>
  </w:style>
  <w:style w:type="character" w:customStyle="1" w:styleId="FuzeileZchn">
    <w:name w:val="Fußzeile Zchn"/>
    <w:basedOn w:val="Absatz-Standardschriftart"/>
    <w:link w:val="Fuzeile"/>
    <w:uiPriority w:val="99"/>
    <w:locked/>
    <w:rsid w:val="0057440D"/>
    <w:rPr>
      <w:rFonts w:ascii="Calibri" w:hAnsi="Calibri" w:cs="Times New Roman"/>
    </w:rPr>
  </w:style>
  <w:style w:type="character" w:styleId="BesuchterLink">
    <w:name w:val="FollowedHyperlink"/>
    <w:basedOn w:val="Absatz-Standardschriftart"/>
    <w:uiPriority w:val="99"/>
    <w:semiHidden/>
    <w:unhideWhenUsed/>
    <w:rsid w:val="005C1CB2"/>
    <w:rPr>
      <w:rFonts w:cs="Times New Roman"/>
      <w:color w:val="954F72" w:themeColor="followedHyperlink"/>
      <w:u w:val="single"/>
    </w:rPr>
  </w:style>
  <w:style w:type="paragraph" w:customStyle="1" w:styleId="Default">
    <w:name w:val="Default"/>
    <w:rsid w:val="005C1CB2"/>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274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is.bundesarbeitsgericht.de/cgi-bin/rechtsprechung/document.py?Gericht=bag&amp;Art=pm&amp;Datum=2018&amp;nr=19944&amp;pos=0&amp;anz=17&amp;titel=Vollstreckungsabwehrklage_-_Besch%E4ftigungstitel_-_Unm%F6glichkeit" TargetMode="External"/><Relationship Id="rId13" Type="http://schemas.openxmlformats.org/officeDocument/2006/relationships/hyperlink" Target="http://lrbw.juris.de/cgi-bin/laender_rechtsprechung/document.py?Gericht=bw&amp;GerichtAuswahl=Arbeitsgerichte&amp;Art=en&amp;Datum=2018&amp;nr=23358&amp;pos=0&amp;anz=3" TargetMode="External"/><Relationship Id="rId18" Type="http://schemas.openxmlformats.org/officeDocument/2006/relationships/hyperlink" Target="https://www.sit.de/lagsh/ehome.nsf/63DEAC1AFA572A6DC1258257003D4196/$file/U_6-Sa-220-16_10-01-2018.pdf" TargetMode="External"/><Relationship Id="rId26" Type="http://schemas.openxmlformats.org/officeDocument/2006/relationships/hyperlink" Target="https://www.sit.de/lagsh/ehome.nsf/096E3CD14B8A4B39C125824E00212926/$file/U_6Sa229-16_30-08-2017.pdf" TargetMode="External"/><Relationship Id="rId3" Type="http://schemas.openxmlformats.org/officeDocument/2006/relationships/settings" Target="settings.xml"/><Relationship Id="rId21" Type="http://schemas.openxmlformats.org/officeDocument/2006/relationships/hyperlink" Target="https://www.sit.de/lagsh/ehome.nsf/65453264C4496018C1258257003E909D/$file/B_1-TaBV-14-17_16-01-2018.pdf" TargetMode="External"/><Relationship Id="rId7" Type="http://schemas.openxmlformats.org/officeDocument/2006/relationships/hyperlink" Target="http://juris.bundesarbeitsgericht.de/cgi-bin/rechtsprechung/document.py?Gericht=bag&amp;Art=pm&amp;Datum=2018&amp;nr=19899&amp;pos=0&amp;anz=13&amp;titel=%DCbergangszuschuss_-_Leistung_der_betrieblichen_Altersversorgung" TargetMode="External"/><Relationship Id="rId12" Type="http://schemas.openxmlformats.org/officeDocument/2006/relationships/hyperlink" Target="http://lrbw.juris.de/cgi-bin/laender_rechtsprechung/document.py?Gericht=bw&amp;GerichtAuswahl=Arbeitsgerichte&amp;Art=en&amp;Datum=2017-10&amp;nr=23394&amp;pos=3&amp;anz=9" TargetMode="External"/><Relationship Id="rId17" Type="http://schemas.openxmlformats.org/officeDocument/2006/relationships/hyperlink" Target="https://www.justiz.nrw.de/nrwe/arbgs/duesseldorf/lag_duesseldorf/j2018/NRWE_LAG_D_sseldorf_7_Sa_185_17_Urteil_20180110.html" TargetMode="External"/><Relationship Id="rId25" Type="http://schemas.openxmlformats.org/officeDocument/2006/relationships/hyperlink" Target="https://www.sit.de/lagsh/ehome.nsf/ED0D86D7429E325FC125824E00212925/$file/U_6Sa272-17_13-12-2017.pdf" TargetMode="External"/><Relationship Id="rId2" Type="http://schemas.openxmlformats.org/officeDocument/2006/relationships/styles" Target="styles.xml"/><Relationship Id="rId16" Type="http://schemas.openxmlformats.org/officeDocument/2006/relationships/hyperlink" Target="https://www.justiz.nrw.de/nrwe/arbgs/hamm/lag_hamm/j2018/1_Sa_1476_17_Urteil_20180216.html" TargetMode="External"/><Relationship Id="rId20" Type="http://schemas.openxmlformats.org/officeDocument/2006/relationships/hyperlink" Target="https://www.sit.de/lagsh/ehome.nsf/7307D6324E7A1F7CC1258257003D4198/$file/B_5-Ta-137-17_24-01-2018.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rbw.juris.de/cgi-bin/laender_rechtsprechung/document.py?Gericht=bw&amp;GerichtAuswahl=Arbeitsgerichte&amp;Art=en&amp;Datum=2017-10&amp;nr=23277&amp;pos=7&amp;anz=9" TargetMode="External"/><Relationship Id="rId24" Type="http://schemas.openxmlformats.org/officeDocument/2006/relationships/hyperlink" Target="https://www.sit.de/lagsh/ehome.nsf/6360AE0B248A9ED2C125824E00212924/$file/U_1Sa301-17_04-12-2017.pdf" TargetMode="External"/><Relationship Id="rId5" Type="http://schemas.openxmlformats.org/officeDocument/2006/relationships/footnotes" Target="footnotes.xml"/><Relationship Id="rId15" Type="http://schemas.openxmlformats.org/officeDocument/2006/relationships/hyperlink" Target="https://www.justiz.nrw.de/nrwe/arbgs/hamm/lag_hamm/j2018/6_Sa_1435_17_Urteil_20180124.html" TargetMode="External"/><Relationship Id="rId23" Type="http://schemas.openxmlformats.org/officeDocument/2006/relationships/hyperlink" Target="https://www.sit.de/lagsh/ehome.nsf/A47781410C1E3163C1258250004939F1/$file/U_6Sa325-17_13-12-2017.pdf" TargetMode="External"/><Relationship Id="rId28" Type="http://schemas.openxmlformats.org/officeDocument/2006/relationships/hyperlink" Target="http://www.vdaa.de" TargetMode="External"/><Relationship Id="rId10" Type="http://schemas.openxmlformats.org/officeDocument/2006/relationships/hyperlink" Target="http://juris.bundesarbeitsgericht.de/cgi-bin/rechtsprechung/document.py?Gericht=bag&amp;Art=pm&amp;Datum=2018&amp;nr=19920&amp;pos=2&amp;anz=17&amp;titel=Aufhebungsvertrag_-_Beg%FCnstigung_eines_Betriebsratsmitglieds" TargetMode="External"/><Relationship Id="rId19" Type="http://schemas.openxmlformats.org/officeDocument/2006/relationships/hyperlink" Target="https://www.sit.de/lagsh/ehome.nsf/E5D95888C760C951C1258257003D4197/$file/B_1-Sa-447-17_10-01-2018.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uris.bundesarbeitsgericht.de/cgi-bin/rechtsprechung/document.py?Gericht=bag&amp;Art=pm&amp;Datum=2018&amp;nr=19947&amp;pos=1&amp;anz=17&amp;titel=Wirksamkeit_der_Allgemeinverbindlicherkl%E4rungen_von_Tarifvertr%E4gen_im_Baugewerbe" TargetMode="External"/><Relationship Id="rId14" Type="http://schemas.openxmlformats.org/officeDocument/2006/relationships/hyperlink" Target="https://www.justiz.nrw.de/nrwe/arbgs/koeln/lag_koeln/j2018/4_Sa_290_17_Urteil_20180112.html" TargetMode="External"/><Relationship Id="rId22" Type="http://schemas.openxmlformats.org/officeDocument/2006/relationships/hyperlink" Target="https://www.sit.de/lagsh/ehome.nsf/E7F2B8E212727D9DC12582520042A62F/$file/U_3Ca2041b-17_19-12-2017_L%C3%BCbeck.pdf" TargetMode="External"/><Relationship Id="rId27" Type="http://schemas.openxmlformats.org/officeDocument/2006/relationships/hyperlink" Target="mailto:info@vdaa.d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1F84F4B3.dotm</Template>
  <TotalTime>0</TotalTime>
  <Pages>9</Pages>
  <Words>4689</Words>
  <Characters>29541</Characters>
  <Application>Microsoft Office Word</Application>
  <DocSecurity>0</DocSecurity>
  <Lines>246</Lines>
  <Paragraphs>68</Paragraphs>
  <ScaleCrop>false</ScaleCrop>
  <Company/>
  <LinksUpToDate>false</LinksUpToDate>
  <CharactersWithSpaces>34162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2018-04-09T09:10:00Z</dcterms:created>
  <dcterms:modified xsi:type="dcterms:W3CDTF">2018-04-09T09:10:00Z</dcterms:modified>
</cp:coreProperties>
</file>