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96D" w:rsidRPr="00AB48CE" w:rsidRDefault="003C796D" w:rsidP="003C796D">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rPr>
        <w:t>V</w:t>
      </w:r>
      <w:r w:rsidRPr="00AB48CE">
        <w:rPr>
          <w:rFonts w:ascii="Cambria" w:eastAsia="ヒラギノ角ゴ Pro W3" w:hAnsi="Cambria" w:cs="Cambria"/>
          <w:b/>
          <w:bCs/>
          <w:color w:val="1F497D"/>
          <w:spacing w:val="20"/>
          <w:sz w:val="60"/>
          <w:szCs w:val="60"/>
        </w:rPr>
        <w:t>DAA</w:t>
      </w:r>
    </w:p>
    <w:p w:rsidR="003C796D" w:rsidRPr="009F01A9" w:rsidRDefault="003C796D" w:rsidP="003C796D">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3C796D" w:rsidRPr="009D45AC" w:rsidRDefault="003C796D" w:rsidP="003C796D">
      <w:pPr>
        <w:tabs>
          <w:tab w:val="center" w:pos="4536"/>
          <w:tab w:val="right" w:pos="9072"/>
        </w:tabs>
        <w:jc w:val="center"/>
        <w:rPr>
          <w:rFonts w:ascii="Arial" w:eastAsia="ヒラギノ角ゴ Pro W3" w:hAnsi="Arial" w:cs="Arial"/>
          <w:b/>
          <w:bCs/>
          <w:color w:val="5A5A5A"/>
          <w:sz w:val="20"/>
          <w:szCs w:val="20"/>
        </w:rPr>
      </w:pPr>
      <w:r w:rsidRPr="009D45AC">
        <w:rPr>
          <w:rFonts w:ascii="Arial" w:hAnsi="Arial" w:cs="Arial"/>
          <w:b/>
          <w:bCs/>
          <w:sz w:val="20"/>
          <w:szCs w:val="20"/>
        </w:rPr>
        <w:t xml:space="preserve">Urteile, die </w:t>
      </w:r>
      <w:r w:rsidR="004D5736">
        <w:rPr>
          <w:rFonts w:ascii="Arial" w:hAnsi="Arial" w:cs="Arial"/>
          <w:b/>
          <w:bCs/>
          <w:sz w:val="20"/>
          <w:szCs w:val="20"/>
        </w:rPr>
        <w:t>Ihre Leser</w:t>
      </w:r>
      <w:r w:rsidRPr="009D45AC">
        <w:rPr>
          <w:rFonts w:ascii="Arial" w:hAnsi="Arial" w:cs="Arial"/>
          <w:b/>
          <w:bCs/>
          <w:sz w:val="20"/>
          <w:szCs w:val="20"/>
        </w:rPr>
        <w:t xml:space="preserve"> interessieren könnten</w:t>
      </w:r>
    </w:p>
    <w:p w:rsidR="003C796D" w:rsidRPr="009D45AC" w:rsidRDefault="003C796D" w:rsidP="003C796D">
      <w:pPr>
        <w:jc w:val="center"/>
        <w:rPr>
          <w:rFonts w:ascii="Arial" w:hAnsi="Arial" w:cs="Arial"/>
          <w:sz w:val="20"/>
          <w:szCs w:val="20"/>
        </w:rPr>
      </w:pPr>
    </w:p>
    <w:p w:rsidR="003C796D" w:rsidRPr="009D45AC" w:rsidRDefault="003C796D" w:rsidP="003C796D">
      <w:pPr>
        <w:jc w:val="center"/>
        <w:rPr>
          <w:rFonts w:ascii="Arial" w:hAnsi="Arial" w:cs="Arial"/>
          <w:sz w:val="20"/>
          <w:szCs w:val="20"/>
        </w:rPr>
      </w:pPr>
      <w:r w:rsidRPr="009D45AC">
        <w:rPr>
          <w:rFonts w:ascii="Arial" w:hAnsi="Arial" w:cs="Arial"/>
          <w:sz w:val="20"/>
          <w:szCs w:val="20"/>
        </w:rPr>
        <w:t>zusammengestellt von Rechtsanwalt/Fachanwalt für Arbeitsrecht u. Fachanwalt für Erbrecht</w:t>
      </w:r>
    </w:p>
    <w:p w:rsidR="003C796D" w:rsidRPr="009D45AC" w:rsidRDefault="003C796D" w:rsidP="003C796D">
      <w:pPr>
        <w:jc w:val="center"/>
        <w:rPr>
          <w:rFonts w:ascii="Arial" w:hAnsi="Arial" w:cs="Arial"/>
          <w:sz w:val="20"/>
          <w:szCs w:val="20"/>
        </w:rPr>
      </w:pPr>
      <w:r w:rsidRPr="009D45AC">
        <w:rPr>
          <w:rFonts w:ascii="Arial" w:hAnsi="Arial" w:cs="Arial"/>
          <w:sz w:val="20"/>
          <w:szCs w:val="20"/>
        </w:rPr>
        <w:t>Michael Henn, Stuttgart</w:t>
      </w:r>
    </w:p>
    <w:p w:rsidR="003C796D" w:rsidRPr="003C796D" w:rsidRDefault="003C796D" w:rsidP="003C796D">
      <w:pPr>
        <w:ind w:right="540"/>
        <w:jc w:val="both"/>
        <w:rPr>
          <w:rFonts w:ascii="Arial" w:hAnsi="Arial" w:cs="Arial"/>
          <w:bCs/>
          <w:sz w:val="20"/>
          <w:szCs w:val="20"/>
          <w:lang w:eastAsia="de-DE"/>
        </w:rPr>
      </w:pPr>
    </w:p>
    <w:p w:rsidR="003C796D" w:rsidRPr="003C796D" w:rsidRDefault="003C796D" w:rsidP="003C796D">
      <w:pPr>
        <w:spacing w:before="60" w:after="15"/>
        <w:ind w:right="540"/>
        <w:jc w:val="center"/>
        <w:rPr>
          <w:rFonts w:ascii="Arial" w:hAnsi="Arial" w:cs="Arial"/>
          <w:b/>
          <w:bCs/>
          <w:sz w:val="20"/>
          <w:szCs w:val="20"/>
          <w:lang w:eastAsia="de-DE"/>
        </w:rPr>
      </w:pPr>
      <w:r w:rsidRPr="003C796D">
        <w:rPr>
          <w:rFonts w:ascii="Arial" w:hAnsi="Arial" w:cs="Arial"/>
          <w:b/>
          <w:bCs/>
          <w:sz w:val="20"/>
          <w:szCs w:val="20"/>
          <w:lang w:eastAsia="de-DE"/>
        </w:rPr>
        <w:t>I.</w:t>
      </w:r>
    </w:p>
    <w:p w:rsidR="003C796D" w:rsidRPr="003C796D" w:rsidRDefault="003C796D" w:rsidP="003C796D">
      <w:pPr>
        <w:spacing w:before="60" w:after="15"/>
        <w:ind w:right="540"/>
        <w:jc w:val="center"/>
        <w:rPr>
          <w:rFonts w:ascii="Arial" w:hAnsi="Arial" w:cs="Arial"/>
          <w:b/>
          <w:bCs/>
          <w:sz w:val="20"/>
          <w:szCs w:val="20"/>
          <w:lang w:eastAsia="de-DE"/>
        </w:rPr>
      </w:pPr>
      <w:r w:rsidRPr="003C796D">
        <w:rPr>
          <w:rFonts w:ascii="Arial" w:hAnsi="Arial" w:cs="Arial"/>
          <w:b/>
          <w:bCs/>
          <w:sz w:val="20"/>
          <w:szCs w:val="20"/>
          <w:lang w:eastAsia="de-DE"/>
        </w:rPr>
        <w:t>Dynamische Bezugnahmeklausel - Änderung durch Betriebsvereinbarung</w:t>
      </w:r>
    </w:p>
    <w:p w:rsidR="00E07CDE" w:rsidRPr="003C796D" w:rsidRDefault="003C796D" w:rsidP="003C796D">
      <w:pPr>
        <w:spacing w:before="60" w:after="15"/>
        <w:ind w:right="540"/>
        <w:jc w:val="center"/>
        <w:rPr>
          <w:rFonts w:ascii="Arial" w:hAnsi="Arial" w:cs="Arial"/>
          <w:bCs/>
          <w:sz w:val="20"/>
          <w:szCs w:val="20"/>
        </w:rPr>
      </w:pPr>
      <w:r w:rsidRPr="003C796D">
        <w:rPr>
          <w:rFonts w:ascii="Arial" w:hAnsi="Arial" w:cs="Arial"/>
          <w:bCs/>
          <w:sz w:val="20"/>
          <w:szCs w:val="20"/>
          <w:lang w:eastAsia="de-DE"/>
        </w:rPr>
        <w:t xml:space="preserve">Bundesarbeitsgericht, </w:t>
      </w:r>
      <w:r w:rsidR="00E07CDE" w:rsidRPr="003C796D">
        <w:rPr>
          <w:rFonts w:ascii="Arial" w:hAnsi="Arial" w:cs="Arial"/>
          <w:bCs/>
          <w:sz w:val="20"/>
          <w:szCs w:val="20"/>
        </w:rPr>
        <w:t>Urteil vom 11. April 2018</w:t>
      </w:r>
      <w:r w:rsidRPr="003C796D">
        <w:rPr>
          <w:rFonts w:ascii="Arial" w:hAnsi="Arial" w:cs="Arial"/>
          <w:bCs/>
          <w:sz w:val="20"/>
          <w:szCs w:val="20"/>
        </w:rPr>
        <w:t>, Az.</w:t>
      </w:r>
      <w:r w:rsidR="00E07CDE" w:rsidRPr="003C796D">
        <w:rPr>
          <w:rFonts w:ascii="Arial" w:hAnsi="Arial" w:cs="Arial"/>
          <w:bCs/>
          <w:sz w:val="20"/>
          <w:szCs w:val="20"/>
        </w:rPr>
        <w:t xml:space="preserve"> 4 AZR 119/17</w:t>
      </w:r>
    </w:p>
    <w:p w:rsidR="00E07CDE" w:rsidRPr="003C796D" w:rsidRDefault="00E07CDE" w:rsidP="00E07CDE">
      <w:pPr>
        <w:spacing w:before="60" w:after="15"/>
        <w:ind w:right="480"/>
        <w:jc w:val="both"/>
        <w:rPr>
          <w:rFonts w:ascii="Arial" w:hAnsi="Arial" w:cs="Arial"/>
          <w:b/>
          <w:bCs/>
          <w:sz w:val="20"/>
          <w:szCs w:val="20"/>
          <w:lang w:eastAsia="de-DE"/>
        </w:rPr>
      </w:pPr>
    </w:p>
    <w:p w:rsidR="003C796D" w:rsidRDefault="00E07CDE" w:rsidP="00E07CDE">
      <w:pPr>
        <w:spacing w:before="60" w:after="15"/>
        <w:ind w:right="480"/>
        <w:jc w:val="both"/>
        <w:rPr>
          <w:rFonts w:ascii="Arial" w:hAnsi="Arial" w:cs="Arial"/>
          <w:sz w:val="20"/>
          <w:szCs w:val="20"/>
          <w:lang w:eastAsia="de-DE"/>
        </w:rPr>
      </w:pPr>
      <w:r w:rsidRPr="003C796D">
        <w:rPr>
          <w:rFonts w:ascii="Arial" w:hAnsi="Arial" w:cs="Arial"/>
          <w:sz w:val="20"/>
          <w:szCs w:val="20"/>
          <w:lang w:eastAsia="de-DE"/>
        </w:rPr>
        <w:t>Eine individualvertraglich vereinbarte Vergütung nach tariflichen Grundsätzen kann durch eine Betriebsvereinbarung nicht zu Lasten des Arbeitnehmers abgeändert werden.</w:t>
      </w:r>
    </w:p>
    <w:p w:rsidR="003C796D" w:rsidRDefault="00E07CDE" w:rsidP="00E07CDE">
      <w:pPr>
        <w:spacing w:before="60" w:after="15"/>
        <w:ind w:right="480"/>
        <w:jc w:val="both"/>
        <w:rPr>
          <w:rFonts w:ascii="Arial" w:hAnsi="Arial" w:cs="Arial"/>
          <w:sz w:val="20"/>
          <w:szCs w:val="20"/>
          <w:lang w:eastAsia="de-DE"/>
        </w:rPr>
      </w:pPr>
      <w:r w:rsidRPr="003C796D">
        <w:rPr>
          <w:rFonts w:ascii="Arial" w:hAnsi="Arial" w:cs="Arial"/>
          <w:sz w:val="20"/>
          <w:szCs w:val="20"/>
          <w:lang w:eastAsia="de-DE"/>
        </w:rPr>
        <w:t xml:space="preserve">Der Kläger ist seit 1991 bei der Beklagten und ihrer Rechtsvorgängerin als Masseur in einem Senioren- und Pflegezentrum beschäftigt. In einer Zusatzvereinbarung zum Arbeitsvertrag von Dezember 1992 verständigte sich die Rechtsvorgängerin der Beklagten mit dem Kläger auf eine Reduzierung der Arbeitszeit. In der Vereinbarung heißt es, die Vergütung betrage „monatlich in der Gruppe BAT Vc/3 = DM 2.527,80 brutto". Im Februar 1993 schlossen die Rechtsvorgängerin der Beklagten und der bei ihr gebildete Betriebsrat eine Betriebsvereinbarung. Danach sollten in ihrem Anwendungsbereich „analog die für die Angestellten des Bundes und der Länder vereinbarten Bestimmungen des Lohn- und Vergütungstarifvertrages - BAT vom 11. Januar 1961" gelten. Ihre Bestimmungen sollten automatisch Bestandteil von Arbeitsverträgen werden, die vor Februar 1993 geschlossen worden waren. Die betroffenen Arbeitnehmer sollten einen entsprechenden Nachtrag zum Arbeitsvertrag erhalten. Einen solchen Nachtrag unterzeichneten die Rechtsvorgängerin der Beklagten und der Kläger im März 1993. Die Beklagte kündigte die Betriebsvereinbarung zum 31. Dezember 2001. Im März 2006 vereinbarten die Parteien im Zusammenhang mit einer Arbeitszeiterhöhung, dass das Gehalt „entsprechend der 0,78 Stelle auf 1.933,90 Euro erhöht“ werde und „alle übrigen Bestandteile des bestehenden Arbeitsvertrages … unverändert gültig“ blieben. Der Kläger hat die Auffassung vertreten, ihm stehe aufgrund arbeitsvertraglicher Bezugnahme Vergütung nach dem Tarifvertrag für den öffentlichen Dienst in der für die kommunalen Arbeitgeber geltenden Fassung (TVöD/VKA) bzw. dem Tarifvertrag für den öffentlichen Dienst der Länder (TV-L) zu. Die Beklagte meint, eine dynamische Bezugnahme auf die vom Kläger herangezogenen Tarifwerke liege nicht vor. </w:t>
      </w:r>
    </w:p>
    <w:p w:rsidR="00E07CDE" w:rsidRPr="003C796D" w:rsidRDefault="00E07CDE" w:rsidP="00E07CDE">
      <w:pPr>
        <w:spacing w:before="60" w:after="15"/>
        <w:ind w:right="480"/>
        <w:jc w:val="both"/>
        <w:rPr>
          <w:rFonts w:ascii="Arial" w:hAnsi="Arial" w:cs="Arial"/>
          <w:sz w:val="20"/>
          <w:szCs w:val="20"/>
          <w:lang w:eastAsia="de-DE"/>
        </w:rPr>
      </w:pPr>
      <w:r w:rsidRPr="003C796D">
        <w:rPr>
          <w:rFonts w:ascii="Arial" w:hAnsi="Arial" w:cs="Arial"/>
          <w:sz w:val="20"/>
          <w:szCs w:val="20"/>
          <w:lang w:eastAsia="de-DE"/>
        </w:rPr>
        <w:t>Die Vorinstanzen haben die Klage abgewiesen. Die Revision des Klägers vor dem Vierten Senat des Bundesarbeitsgerichts war erfolgreich. Die Beklagte ist verpflichtet, den Kläger nach der jeweiligen Entgelttabelle des TVöD/VKA zu vergüten. Der Kläger und die Rechtsvorgängerin der Beklagten haben die Vergütung nach den jeweils geltenden Regelungen des BAT und nachfolgend des TVöD/VKA arbeitsvertraglich vereinbart. Die Betriebsvereinbarung aus dem Jahr 1993 vermochte diese Vereinbarung nicht abzuändern. Ungeachtet der Wirksamkeit der Betriebsvereinbarung unterlag die arbeitsvertragliche Vergütungsabrede bereits deshalb nicht der Abänderung durch eine kollektivrechtliche Regelung, weil es sich bei der Vereinbarung der Vergütung nicht um eine allgemeine Geschäftsbedingung, sondern um eine individuell vereinbarte, nicht der AGB-Kontrolle unterworfene Regelung der Hauptleistungspflicht handelte. Die vom Landesarbeitsgericht aufgeworfene Frage der - generellen - Betriebsvereinbarungsoffenheit von Allgemeinen Geschäftsbedingungen in Arbeitsverträgen bedurfte deshalb keiner Entscheidung.</w:t>
      </w:r>
    </w:p>
    <w:p w:rsidR="00E07CDE" w:rsidRPr="003C796D" w:rsidRDefault="00E07CDE" w:rsidP="00E07CDE">
      <w:pPr>
        <w:spacing w:before="60" w:after="15"/>
        <w:ind w:right="480"/>
        <w:jc w:val="both"/>
        <w:rPr>
          <w:rFonts w:ascii="Arial" w:hAnsi="Arial" w:cs="Arial"/>
          <w:sz w:val="20"/>
          <w:szCs w:val="20"/>
          <w:lang w:eastAsia="de-DE"/>
        </w:rPr>
      </w:pPr>
    </w:p>
    <w:p w:rsidR="00E07CDE" w:rsidRPr="003C796D" w:rsidRDefault="00E07CDE" w:rsidP="00E07CDE">
      <w:pPr>
        <w:spacing w:before="60" w:after="15"/>
        <w:ind w:right="480"/>
        <w:jc w:val="both"/>
        <w:rPr>
          <w:rFonts w:ascii="Arial" w:hAnsi="Arial" w:cs="Arial"/>
          <w:b/>
          <w:bCs/>
          <w:i/>
          <w:iCs/>
          <w:color w:val="002060"/>
          <w:sz w:val="16"/>
          <w:szCs w:val="16"/>
          <w:lang w:eastAsia="de-DE"/>
        </w:rPr>
      </w:pPr>
      <w:r w:rsidRPr="003C796D">
        <w:rPr>
          <w:rFonts w:ascii="Arial" w:hAnsi="Arial" w:cs="Arial"/>
          <w:b/>
          <w:bCs/>
          <w:color w:val="002060"/>
          <w:sz w:val="16"/>
          <w:szCs w:val="16"/>
          <w:u w:val="single"/>
          <w:lang w:eastAsia="de-DE"/>
        </w:rPr>
        <w:t xml:space="preserve">Siehe: </w:t>
      </w:r>
    </w:p>
    <w:p w:rsidR="00E07CDE" w:rsidRPr="003C796D" w:rsidRDefault="00E07CDE" w:rsidP="00E07CDE">
      <w:pPr>
        <w:rPr>
          <w:rFonts w:ascii="Arial" w:hAnsi="Arial" w:cs="Arial"/>
          <w:sz w:val="16"/>
          <w:szCs w:val="16"/>
          <w:lang w:eastAsia="de-DE"/>
        </w:rPr>
      </w:pPr>
      <w:hyperlink r:id="rId7" w:history="1">
        <w:r w:rsidRPr="003C796D">
          <w:rPr>
            <w:rStyle w:val="Hyperlink"/>
            <w:rFonts w:ascii="Arial" w:hAnsi="Arial" w:cs="Arial"/>
            <w:sz w:val="16"/>
            <w:szCs w:val="16"/>
            <w:lang w:eastAsia="de-DE"/>
          </w:rPr>
          <w:t>http://juris.bundesarbeitsgericht.de/cgi-bin/rechtsprechung/document.py?Gericht=bag&amp;Art=pm&amp;Datum=2018&amp;nr=20081&amp;pos=0&amp;anz=18&amp;titel=Dynamische_Bezugnahmeklausel_-_%C4nderung_durch_Betriebsvereinbarung</w:t>
        </w:r>
      </w:hyperlink>
    </w:p>
    <w:p w:rsidR="00E07CDE" w:rsidRDefault="00E07CDE" w:rsidP="00E07CDE">
      <w:pPr>
        <w:rPr>
          <w:rFonts w:ascii="Arial" w:hAnsi="Arial" w:cs="Arial"/>
          <w:sz w:val="20"/>
          <w:szCs w:val="20"/>
          <w:lang w:eastAsia="de-DE"/>
        </w:rPr>
      </w:pPr>
    </w:p>
    <w:p w:rsidR="00E07CDE" w:rsidRDefault="00E07CDE" w:rsidP="003C796D">
      <w:pPr>
        <w:spacing w:before="60" w:after="15"/>
        <w:ind w:right="540"/>
        <w:jc w:val="both"/>
        <w:rPr>
          <w:rFonts w:ascii="Arial" w:hAnsi="Arial" w:cs="Arial"/>
          <w:color w:val="002060"/>
          <w:sz w:val="20"/>
          <w:szCs w:val="20"/>
          <w:lang w:eastAsia="de-DE"/>
        </w:rPr>
      </w:pPr>
    </w:p>
    <w:p w:rsidR="003C796D" w:rsidRPr="004E4ABA" w:rsidRDefault="003C796D" w:rsidP="003C796D">
      <w:pPr>
        <w:spacing w:before="60" w:after="15"/>
        <w:ind w:right="540"/>
        <w:jc w:val="center"/>
        <w:rPr>
          <w:rFonts w:ascii="Arial" w:hAnsi="Arial" w:cs="Arial"/>
          <w:b/>
          <w:bCs/>
          <w:sz w:val="20"/>
          <w:szCs w:val="20"/>
          <w:lang w:eastAsia="de-DE"/>
        </w:rPr>
      </w:pPr>
      <w:r w:rsidRPr="004E4ABA">
        <w:rPr>
          <w:rFonts w:ascii="Arial" w:hAnsi="Arial" w:cs="Arial"/>
          <w:b/>
          <w:bCs/>
          <w:sz w:val="20"/>
          <w:szCs w:val="20"/>
          <w:lang w:eastAsia="de-DE"/>
        </w:rPr>
        <w:t>II.</w:t>
      </w:r>
    </w:p>
    <w:p w:rsidR="00E07CDE" w:rsidRPr="004E4ABA" w:rsidRDefault="00E07CDE" w:rsidP="003C796D">
      <w:pPr>
        <w:spacing w:before="60" w:after="15"/>
        <w:ind w:right="540"/>
        <w:jc w:val="center"/>
        <w:rPr>
          <w:rFonts w:ascii="Arial" w:hAnsi="Arial" w:cs="Arial"/>
          <w:bCs/>
          <w:sz w:val="20"/>
          <w:szCs w:val="20"/>
        </w:rPr>
      </w:pPr>
      <w:r w:rsidRPr="004E4ABA">
        <w:rPr>
          <w:rFonts w:ascii="Arial" w:hAnsi="Arial" w:cs="Arial"/>
          <w:bCs/>
          <w:sz w:val="20"/>
          <w:szCs w:val="20"/>
          <w:lang w:eastAsia="de-DE"/>
        </w:rPr>
        <w:lastRenderedPageBreak/>
        <w:t>EuGH Europäischer Gerichtshof</w:t>
      </w:r>
      <w:r w:rsidR="003C796D" w:rsidRPr="004E4ABA">
        <w:rPr>
          <w:rFonts w:ascii="Arial" w:hAnsi="Arial" w:cs="Arial"/>
          <w:bCs/>
          <w:sz w:val="20"/>
          <w:szCs w:val="20"/>
          <w:lang w:eastAsia="de-DE"/>
        </w:rPr>
        <w:t xml:space="preserve">, </w:t>
      </w:r>
      <w:r w:rsidRPr="004E4ABA">
        <w:rPr>
          <w:rFonts w:ascii="Arial" w:hAnsi="Arial" w:cs="Arial"/>
          <w:bCs/>
          <w:sz w:val="20"/>
          <w:szCs w:val="20"/>
        </w:rPr>
        <w:t>Urteil in der Rechtssache C-414/16</w:t>
      </w:r>
    </w:p>
    <w:p w:rsidR="00E07CDE" w:rsidRPr="004E4ABA" w:rsidRDefault="00E07CDE" w:rsidP="00E07CDE">
      <w:pPr>
        <w:spacing w:before="60" w:after="15"/>
        <w:ind w:right="480"/>
        <w:jc w:val="both"/>
        <w:rPr>
          <w:rFonts w:ascii="Arial" w:hAnsi="Arial" w:cs="Arial"/>
          <w:b/>
          <w:bCs/>
          <w:sz w:val="20"/>
          <w:szCs w:val="20"/>
          <w:lang w:eastAsia="de-DE"/>
        </w:rPr>
      </w:pPr>
    </w:p>
    <w:p w:rsidR="00E07CDE" w:rsidRPr="004E4ABA" w:rsidRDefault="00E07CDE" w:rsidP="00E07CDE">
      <w:pPr>
        <w:spacing w:before="60" w:after="15"/>
        <w:ind w:right="480"/>
        <w:jc w:val="both"/>
        <w:rPr>
          <w:rFonts w:ascii="Arial" w:hAnsi="Arial" w:cs="Arial"/>
          <w:bCs/>
          <w:sz w:val="20"/>
          <w:szCs w:val="20"/>
          <w:lang w:eastAsia="de-DE"/>
        </w:rPr>
      </w:pPr>
      <w:r w:rsidRPr="004E4ABA">
        <w:rPr>
          <w:rFonts w:ascii="Arial" w:hAnsi="Arial" w:cs="Arial"/>
          <w:bCs/>
          <w:sz w:val="20"/>
          <w:szCs w:val="20"/>
          <w:lang w:eastAsia="de-DE"/>
        </w:rPr>
        <w:t>Das Erfordernis, dass Bewerber um eine bei der Kirche zu besetzende Stelle einer bestimmten Religion angehören, muss Gegenstand einer wirksamen gerichtlichen Kontrolle sein können.</w:t>
      </w:r>
    </w:p>
    <w:p w:rsidR="00E07CDE" w:rsidRPr="004E4ABA" w:rsidRDefault="00E07CDE" w:rsidP="00E07CDE">
      <w:pPr>
        <w:spacing w:before="60" w:after="15"/>
        <w:ind w:right="480"/>
        <w:jc w:val="both"/>
        <w:rPr>
          <w:rFonts w:ascii="Arial" w:hAnsi="Arial" w:cs="Arial"/>
          <w:b/>
          <w:bCs/>
          <w:sz w:val="20"/>
          <w:szCs w:val="20"/>
          <w:lang w:eastAsia="de-DE"/>
        </w:rPr>
      </w:pPr>
    </w:p>
    <w:p w:rsidR="00E07CDE" w:rsidRPr="004E4ABA" w:rsidRDefault="003C796D" w:rsidP="003C796D">
      <w:pPr>
        <w:spacing w:before="60" w:after="15"/>
        <w:ind w:right="540"/>
        <w:jc w:val="center"/>
        <w:rPr>
          <w:rFonts w:ascii="Arial" w:hAnsi="Arial" w:cs="Arial"/>
          <w:b/>
          <w:bCs/>
          <w:sz w:val="20"/>
          <w:szCs w:val="20"/>
          <w:lang w:eastAsia="de-DE"/>
        </w:rPr>
      </w:pPr>
      <w:r w:rsidRPr="004E4ABA">
        <w:rPr>
          <w:rFonts w:ascii="Arial" w:hAnsi="Arial" w:cs="Arial"/>
          <w:b/>
          <w:bCs/>
          <w:sz w:val="20"/>
          <w:szCs w:val="20"/>
          <w:lang w:eastAsia="de-DE"/>
        </w:rPr>
        <w:t>III.</w:t>
      </w:r>
    </w:p>
    <w:p w:rsidR="00E07CDE" w:rsidRPr="004E4ABA" w:rsidRDefault="003C796D" w:rsidP="003C796D">
      <w:pPr>
        <w:spacing w:before="60" w:after="15"/>
        <w:ind w:right="540"/>
        <w:jc w:val="center"/>
        <w:rPr>
          <w:rFonts w:ascii="Arial" w:hAnsi="Arial" w:cs="Arial"/>
          <w:b/>
          <w:sz w:val="20"/>
          <w:szCs w:val="20"/>
          <w:lang w:eastAsia="de-DE"/>
        </w:rPr>
      </w:pPr>
      <w:r w:rsidRPr="004E4ABA">
        <w:rPr>
          <w:rFonts w:ascii="Arial" w:hAnsi="Arial" w:cs="Arial"/>
          <w:b/>
          <w:sz w:val="20"/>
          <w:szCs w:val="20"/>
          <w:lang w:eastAsia="de-DE"/>
        </w:rPr>
        <w:t>Equal pay</w:t>
      </w:r>
    </w:p>
    <w:p w:rsidR="00E07CDE" w:rsidRPr="004E4ABA" w:rsidRDefault="00E07CDE" w:rsidP="003C796D">
      <w:pPr>
        <w:spacing w:before="60" w:after="15"/>
        <w:ind w:right="540"/>
        <w:jc w:val="center"/>
        <w:rPr>
          <w:rFonts w:ascii="Arial" w:hAnsi="Arial" w:cs="Arial"/>
          <w:bCs/>
          <w:sz w:val="20"/>
          <w:szCs w:val="20"/>
        </w:rPr>
      </w:pPr>
      <w:r w:rsidRPr="004E4ABA">
        <w:rPr>
          <w:rFonts w:ascii="Arial" w:hAnsi="Arial" w:cs="Arial"/>
          <w:bCs/>
          <w:sz w:val="20"/>
          <w:szCs w:val="20"/>
          <w:lang w:eastAsia="de-DE"/>
        </w:rPr>
        <w:t>Landesarbeitsgericht Baden-Württemberg</w:t>
      </w:r>
      <w:r w:rsidR="003C796D" w:rsidRPr="004E4ABA">
        <w:rPr>
          <w:rFonts w:ascii="Arial" w:hAnsi="Arial" w:cs="Arial"/>
          <w:bCs/>
          <w:sz w:val="20"/>
          <w:szCs w:val="20"/>
          <w:lang w:eastAsia="de-DE"/>
        </w:rPr>
        <w:t xml:space="preserve">, </w:t>
      </w:r>
      <w:r w:rsidRPr="004E4ABA">
        <w:rPr>
          <w:rFonts w:ascii="Arial" w:hAnsi="Arial" w:cs="Arial"/>
          <w:bCs/>
          <w:sz w:val="20"/>
          <w:szCs w:val="20"/>
        </w:rPr>
        <w:t>Urteil vom 16.1.2018,</w:t>
      </w:r>
      <w:r w:rsidR="003C796D" w:rsidRPr="004E4ABA">
        <w:rPr>
          <w:rFonts w:ascii="Arial" w:hAnsi="Arial" w:cs="Arial"/>
          <w:bCs/>
          <w:sz w:val="20"/>
          <w:szCs w:val="20"/>
        </w:rPr>
        <w:t xml:space="preserve"> Az. 15 Sa 9/17</w:t>
      </w:r>
    </w:p>
    <w:p w:rsidR="00E07CDE" w:rsidRPr="004E4ABA" w:rsidRDefault="00E07CDE" w:rsidP="00E07CDE">
      <w:pPr>
        <w:spacing w:before="60" w:after="15"/>
        <w:ind w:right="480"/>
        <w:jc w:val="both"/>
        <w:rPr>
          <w:rFonts w:ascii="Arial" w:hAnsi="Arial" w:cs="Arial"/>
          <w:b/>
          <w:bCs/>
          <w:sz w:val="20"/>
          <w:szCs w:val="20"/>
          <w:lang w:eastAsia="de-DE"/>
        </w:rPr>
      </w:pPr>
    </w:p>
    <w:p w:rsidR="003C796D" w:rsidRPr="004E4ABA" w:rsidRDefault="00E07CDE" w:rsidP="00E07CDE">
      <w:pPr>
        <w:spacing w:before="60" w:after="15"/>
        <w:ind w:right="480"/>
        <w:jc w:val="both"/>
        <w:rPr>
          <w:rFonts w:ascii="Arial" w:hAnsi="Arial" w:cs="Arial"/>
          <w:sz w:val="20"/>
          <w:szCs w:val="20"/>
          <w:lang w:eastAsia="de-DE"/>
        </w:rPr>
      </w:pPr>
      <w:r w:rsidRPr="004E4ABA">
        <w:rPr>
          <w:rFonts w:ascii="Arial" w:hAnsi="Arial" w:cs="Arial"/>
          <w:sz w:val="20"/>
          <w:szCs w:val="20"/>
          <w:lang w:eastAsia="de-DE"/>
        </w:rPr>
        <w:t>1. § 1 Nr. 2 des Tarifvertrags über logistische Dienstleistung und Leiharbeit ist dahin auszulegen, dass die Regelungen in § 2 bis § 3 des Tarifvertrags über logistische Dienstleistung und Leiharbeit nur für Arbeitnehmer gelten, deren Arbeitsverhältnis ab dem 01.11.2012 begonnen hat.</w:t>
      </w:r>
    </w:p>
    <w:p w:rsidR="003C796D" w:rsidRPr="004E4ABA" w:rsidRDefault="00E07CDE" w:rsidP="00E07CDE">
      <w:pPr>
        <w:spacing w:before="60" w:after="15"/>
        <w:ind w:right="480"/>
        <w:jc w:val="both"/>
        <w:rPr>
          <w:rFonts w:ascii="Arial" w:hAnsi="Arial" w:cs="Arial"/>
          <w:sz w:val="20"/>
          <w:szCs w:val="20"/>
          <w:lang w:eastAsia="de-DE"/>
        </w:rPr>
      </w:pPr>
      <w:r w:rsidRPr="004E4ABA">
        <w:rPr>
          <w:rFonts w:ascii="Arial" w:hAnsi="Arial" w:cs="Arial"/>
          <w:sz w:val="20"/>
          <w:szCs w:val="20"/>
          <w:lang w:eastAsia="de-DE"/>
        </w:rPr>
        <w:t>2. Für einen Leiharbeitnehmer, der bei derjenigen Firma eingesetzt wird, für deren eigene Arbeitnehmer der Tarifvertrag über logistische Dienstleistung und Leiharbeit zur Anwendung kommt, bedeutet dies, dass die Regelungen in § 2 bis § 3 dieses Tarifvertrags für die Berechnung des "equal pay" dann nicht zur Anwendung kommen, wenn der Einsatz bereits vor dem 01.11.2012 begonnen hat.</w:t>
      </w:r>
    </w:p>
    <w:p w:rsidR="00E07CDE" w:rsidRPr="004E4ABA" w:rsidRDefault="00E07CDE" w:rsidP="00E07CDE">
      <w:pPr>
        <w:spacing w:before="60" w:after="15"/>
        <w:ind w:right="480"/>
        <w:jc w:val="both"/>
        <w:rPr>
          <w:rFonts w:ascii="Arial" w:hAnsi="Arial" w:cs="Arial"/>
          <w:sz w:val="20"/>
          <w:szCs w:val="20"/>
          <w:lang w:eastAsia="de-DE"/>
        </w:rPr>
      </w:pPr>
      <w:r w:rsidRPr="004E4ABA">
        <w:rPr>
          <w:rFonts w:ascii="Arial" w:hAnsi="Arial" w:cs="Arial"/>
          <w:sz w:val="20"/>
          <w:szCs w:val="20"/>
          <w:lang w:eastAsia="de-DE"/>
        </w:rPr>
        <w:t>3. Erstrebt ein Leiharbeitnehmer, der vertragsgemäß in Vollzeit mit einer bestimmten Wochenstundenzahl eingesetzt wurde, als "equal pay" eine Vergütung, die bei dem Entleiher für die dort für Vollzeitarbeitnehmer geltende höhere Wochenstundenzahl bezahlt würde, müssen hinsichtlich der Differenzstunden die Voraussetzungen eines Anspruchs auf Vergütung bei Annahmeverzug oder eines sonstigen Anspruchs auf "Entgelt ohne Arbeit" vorliegen.</w:t>
      </w:r>
    </w:p>
    <w:p w:rsidR="00E07CDE" w:rsidRDefault="00E07CDE" w:rsidP="00E07CDE">
      <w:pPr>
        <w:spacing w:before="60" w:after="15"/>
        <w:ind w:right="480"/>
        <w:jc w:val="both"/>
        <w:rPr>
          <w:rFonts w:ascii="Arial" w:hAnsi="Arial" w:cs="Arial"/>
          <w:b/>
          <w:bCs/>
          <w:color w:val="002060"/>
          <w:sz w:val="20"/>
          <w:szCs w:val="20"/>
          <w:u w:val="single"/>
          <w:lang w:eastAsia="de-DE"/>
        </w:rPr>
      </w:pPr>
    </w:p>
    <w:p w:rsidR="00E07CDE" w:rsidRPr="003C796D" w:rsidRDefault="00E07CDE" w:rsidP="00E07CDE">
      <w:pPr>
        <w:spacing w:before="60" w:after="15"/>
        <w:ind w:right="480"/>
        <w:jc w:val="both"/>
        <w:rPr>
          <w:rFonts w:ascii="Arial" w:hAnsi="Arial" w:cs="Arial"/>
          <w:b/>
          <w:bCs/>
          <w:i/>
          <w:iCs/>
          <w:color w:val="002060"/>
          <w:sz w:val="16"/>
          <w:szCs w:val="16"/>
          <w:lang w:eastAsia="de-DE"/>
        </w:rPr>
      </w:pPr>
      <w:r w:rsidRPr="003C796D">
        <w:rPr>
          <w:rFonts w:ascii="Arial" w:hAnsi="Arial" w:cs="Arial"/>
          <w:b/>
          <w:bCs/>
          <w:color w:val="002060"/>
          <w:sz w:val="16"/>
          <w:szCs w:val="16"/>
          <w:u w:val="single"/>
          <w:lang w:eastAsia="de-DE"/>
        </w:rPr>
        <w:t xml:space="preserve">Siehe: </w:t>
      </w:r>
    </w:p>
    <w:p w:rsidR="00E07CDE" w:rsidRDefault="00E07CDE" w:rsidP="00E07CDE">
      <w:pPr>
        <w:spacing w:before="60" w:after="15"/>
        <w:ind w:right="480"/>
        <w:jc w:val="both"/>
        <w:rPr>
          <w:rFonts w:ascii="Arial" w:hAnsi="Arial" w:cs="Arial"/>
          <w:color w:val="002060"/>
          <w:sz w:val="20"/>
          <w:szCs w:val="20"/>
          <w:lang w:eastAsia="de-DE"/>
        </w:rPr>
      </w:pPr>
      <w:hyperlink r:id="rId8" w:history="1">
        <w:r w:rsidRPr="003C796D">
          <w:rPr>
            <w:rStyle w:val="Hyperlink"/>
            <w:rFonts w:ascii="Arial" w:hAnsi="Arial" w:cs="Arial"/>
            <w:sz w:val="16"/>
            <w:szCs w:val="16"/>
            <w:lang w:eastAsia="de-DE"/>
          </w:rPr>
          <w:t>http://lrbw.juris.de/cgi-bin/laender_rechtsprechung/document.py?Gericht=bw&amp;GerichtAuswahl=Arbeitsgerichte&amp;Art=en&amp;Datum=2018&amp;nr=23708&amp;pos=4&amp;anz=5</w:t>
        </w:r>
      </w:hyperlink>
    </w:p>
    <w:p w:rsidR="00E07CDE" w:rsidRDefault="00E07CDE" w:rsidP="00E07CDE">
      <w:pPr>
        <w:spacing w:before="60" w:after="15"/>
        <w:ind w:right="540"/>
        <w:jc w:val="both"/>
        <w:rPr>
          <w:rFonts w:ascii="Arial" w:hAnsi="Arial" w:cs="Arial"/>
          <w:b/>
          <w:bCs/>
          <w:color w:val="002060"/>
          <w:sz w:val="24"/>
          <w:szCs w:val="24"/>
          <w:lang w:eastAsia="de-DE"/>
        </w:rPr>
      </w:pPr>
    </w:p>
    <w:p w:rsidR="00E07CDE" w:rsidRDefault="00E07CDE" w:rsidP="00E07CDE">
      <w:pPr>
        <w:spacing w:before="60" w:after="15"/>
        <w:ind w:right="540"/>
        <w:jc w:val="both"/>
        <w:rPr>
          <w:rFonts w:ascii="Arial" w:hAnsi="Arial" w:cs="Arial"/>
          <w:b/>
          <w:bCs/>
          <w:color w:val="002060"/>
          <w:sz w:val="24"/>
          <w:szCs w:val="24"/>
          <w:lang w:eastAsia="de-DE"/>
        </w:rPr>
      </w:pPr>
    </w:p>
    <w:p w:rsidR="00E07CDE" w:rsidRPr="004E4ABA" w:rsidRDefault="003C796D" w:rsidP="003C796D">
      <w:pPr>
        <w:spacing w:before="60" w:after="15"/>
        <w:ind w:right="540"/>
        <w:jc w:val="center"/>
        <w:rPr>
          <w:rFonts w:ascii="Arial" w:hAnsi="Arial" w:cs="Arial"/>
          <w:b/>
          <w:sz w:val="20"/>
          <w:szCs w:val="20"/>
          <w:lang w:eastAsia="de-DE"/>
        </w:rPr>
      </w:pPr>
      <w:r w:rsidRPr="004E4ABA">
        <w:rPr>
          <w:rFonts w:ascii="Arial" w:hAnsi="Arial" w:cs="Arial"/>
          <w:b/>
          <w:sz w:val="20"/>
          <w:szCs w:val="20"/>
          <w:lang w:eastAsia="de-DE"/>
        </w:rPr>
        <w:t>IV.</w:t>
      </w:r>
    </w:p>
    <w:p w:rsidR="003C796D" w:rsidRPr="004E4ABA" w:rsidRDefault="003C796D" w:rsidP="003C796D">
      <w:pPr>
        <w:spacing w:before="60" w:after="15"/>
        <w:ind w:right="540"/>
        <w:jc w:val="center"/>
        <w:rPr>
          <w:rFonts w:ascii="Arial" w:hAnsi="Arial" w:cs="Arial"/>
          <w:b/>
          <w:bCs/>
          <w:sz w:val="20"/>
          <w:szCs w:val="20"/>
          <w:lang w:eastAsia="de-DE"/>
        </w:rPr>
      </w:pPr>
      <w:r w:rsidRPr="004E4ABA">
        <w:rPr>
          <w:rFonts w:ascii="Arial" w:hAnsi="Arial" w:cs="Arial"/>
          <w:b/>
          <w:bCs/>
          <w:sz w:val="20"/>
          <w:szCs w:val="20"/>
          <w:lang w:eastAsia="de-DE"/>
        </w:rPr>
        <w:t>Auslegung einer tariflichen Regelung zur Betriebsrentenanpassung</w:t>
      </w:r>
    </w:p>
    <w:p w:rsidR="00E07CDE" w:rsidRPr="004E4ABA" w:rsidRDefault="00E07CDE" w:rsidP="003C796D">
      <w:pPr>
        <w:spacing w:before="60" w:after="15"/>
        <w:ind w:right="540"/>
        <w:jc w:val="center"/>
        <w:rPr>
          <w:rFonts w:ascii="Arial" w:hAnsi="Arial" w:cs="Arial"/>
          <w:bCs/>
          <w:sz w:val="20"/>
          <w:szCs w:val="20"/>
        </w:rPr>
      </w:pPr>
      <w:r w:rsidRPr="004E4ABA">
        <w:rPr>
          <w:rFonts w:ascii="Arial" w:hAnsi="Arial" w:cs="Arial"/>
          <w:bCs/>
          <w:sz w:val="20"/>
          <w:szCs w:val="20"/>
          <w:lang w:eastAsia="de-DE"/>
        </w:rPr>
        <w:t>Landesarbeitsgericht Baden-Württemberg</w:t>
      </w:r>
      <w:r w:rsidR="003C796D" w:rsidRPr="004E4ABA">
        <w:rPr>
          <w:rFonts w:ascii="Arial" w:hAnsi="Arial" w:cs="Arial"/>
          <w:bCs/>
          <w:sz w:val="20"/>
          <w:szCs w:val="20"/>
          <w:lang w:eastAsia="de-DE"/>
        </w:rPr>
        <w:t xml:space="preserve">, </w:t>
      </w:r>
      <w:r w:rsidRPr="004E4ABA">
        <w:rPr>
          <w:rFonts w:ascii="Arial" w:hAnsi="Arial" w:cs="Arial"/>
          <w:bCs/>
          <w:sz w:val="20"/>
          <w:szCs w:val="20"/>
        </w:rPr>
        <w:t>Urteil vom 7.3.2018,</w:t>
      </w:r>
      <w:r w:rsidR="003C796D" w:rsidRPr="004E4ABA">
        <w:rPr>
          <w:rFonts w:ascii="Arial" w:hAnsi="Arial" w:cs="Arial"/>
          <w:bCs/>
          <w:sz w:val="20"/>
          <w:szCs w:val="20"/>
        </w:rPr>
        <w:t xml:space="preserve"> Az. 4 Sa 52/17</w:t>
      </w:r>
    </w:p>
    <w:p w:rsidR="00E07CDE" w:rsidRDefault="00E07CDE" w:rsidP="00E07CDE">
      <w:pPr>
        <w:spacing w:before="60" w:after="15"/>
        <w:ind w:right="480"/>
        <w:jc w:val="both"/>
        <w:rPr>
          <w:rFonts w:ascii="Arial" w:hAnsi="Arial" w:cs="Arial"/>
          <w:b/>
          <w:bCs/>
          <w:color w:val="002060"/>
          <w:sz w:val="20"/>
          <w:szCs w:val="20"/>
          <w:lang w:eastAsia="de-DE"/>
        </w:rPr>
      </w:pPr>
    </w:p>
    <w:p w:rsidR="00E07CDE" w:rsidRPr="003C796D" w:rsidRDefault="00E07CDE" w:rsidP="00E07CDE">
      <w:pPr>
        <w:spacing w:before="60" w:after="15"/>
        <w:ind w:right="480"/>
        <w:jc w:val="both"/>
        <w:rPr>
          <w:rFonts w:ascii="Arial" w:hAnsi="Arial" w:cs="Arial"/>
          <w:b/>
          <w:bCs/>
          <w:i/>
          <w:iCs/>
          <w:color w:val="002060"/>
          <w:sz w:val="16"/>
          <w:szCs w:val="16"/>
          <w:lang w:eastAsia="de-DE"/>
        </w:rPr>
      </w:pPr>
      <w:r w:rsidRPr="003C796D">
        <w:rPr>
          <w:rFonts w:ascii="Arial" w:hAnsi="Arial" w:cs="Arial"/>
          <w:b/>
          <w:bCs/>
          <w:color w:val="002060"/>
          <w:sz w:val="16"/>
          <w:szCs w:val="16"/>
          <w:u w:val="single"/>
          <w:lang w:eastAsia="de-DE"/>
        </w:rPr>
        <w:t xml:space="preserve">Siehe: </w:t>
      </w:r>
    </w:p>
    <w:p w:rsidR="00E07CDE" w:rsidRPr="003C796D" w:rsidRDefault="00E07CDE" w:rsidP="00E07CDE">
      <w:pPr>
        <w:spacing w:before="60" w:after="15"/>
        <w:ind w:right="480"/>
        <w:jc w:val="both"/>
        <w:rPr>
          <w:rFonts w:ascii="Arial" w:hAnsi="Arial" w:cs="Arial"/>
          <w:color w:val="002060"/>
          <w:sz w:val="16"/>
          <w:szCs w:val="16"/>
          <w:lang w:eastAsia="de-DE"/>
        </w:rPr>
      </w:pPr>
      <w:hyperlink r:id="rId9" w:history="1">
        <w:r w:rsidRPr="003C796D">
          <w:rPr>
            <w:rStyle w:val="Hyperlink"/>
            <w:rFonts w:ascii="Arial" w:hAnsi="Arial" w:cs="Arial"/>
            <w:sz w:val="16"/>
            <w:szCs w:val="16"/>
            <w:lang w:eastAsia="de-DE"/>
          </w:rPr>
          <w:t>http://lrbw.juris.de/cgi-bin/laender_rechtsprechung/document.py?Gericht=bw&amp;GerichtAuswahl=Arbeitsgerichte&amp;Art=en&amp;Datum=2018&amp;nr=23714&amp;pos=0&amp;anz=5</w:t>
        </w:r>
      </w:hyperlink>
    </w:p>
    <w:p w:rsidR="00E07CDE" w:rsidRDefault="00E07CDE" w:rsidP="00E07CDE">
      <w:pPr>
        <w:spacing w:before="60" w:after="15"/>
        <w:ind w:right="480"/>
        <w:jc w:val="both"/>
        <w:rPr>
          <w:rFonts w:ascii="Arial" w:hAnsi="Arial" w:cs="Arial"/>
          <w:color w:val="002060"/>
          <w:sz w:val="20"/>
          <w:szCs w:val="20"/>
          <w:lang w:eastAsia="de-DE"/>
        </w:rPr>
      </w:pPr>
    </w:p>
    <w:p w:rsidR="00E07CDE" w:rsidRPr="004E4ABA" w:rsidRDefault="003C796D" w:rsidP="003C796D">
      <w:pPr>
        <w:spacing w:before="60" w:after="15"/>
        <w:ind w:right="540"/>
        <w:jc w:val="center"/>
        <w:rPr>
          <w:rFonts w:ascii="Arial" w:hAnsi="Arial" w:cs="Arial"/>
          <w:b/>
          <w:bCs/>
          <w:sz w:val="20"/>
          <w:szCs w:val="20"/>
          <w:lang w:eastAsia="de-DE"/>
        </w:rPr>
      </w:pPr>
      <w:r w:rsidRPr="004E4ABA">
        <w:rPr>
          <w:rFonts w:ascii="Arial" w:hAnsi="Arial" w:cs="Arial"/>
          <w:b/>
          <w:bCs/>
          <w:sz w:val="20"/>
          <w:szCs w:val="20"/>
          <w:lang w:eastAsia="de-DE"/>
        </w:rPr>
        <w:t>V.</w:t>
      </w:r>
    </w:p>
    <w:p w:rsidR="00E07CDE" w:rsidRPr="004E4ABA" w:rsidRDefault="003C796D" w:rsidP="003C796D">
      <w:pPr>
        <w:spacing w:before="60" w:after="15"/>
        <w:ind w:right="540"/>
        <w:jc w:val="center"/>
        <w:rPr>
          <w:rFonts w:ascii="Arial" w:hAnsi="Arial" w:cs="Arial"/>
          <w:b/>
          <w:sz w:val="20"/>
          <w:szCs w:val="20"/>
          <w:lang w:eastAsia="de-DE"/>
        </w:rPr>
      </w:pPr>
      <w:r w:rsidRPr="004E4ABA">
        <w:rPr>
          <w:rFonts w:ascii="Arial" w:hAnsi="Arial" w:cs="Arial"/>
          <w:b/>
          <w:sz w:val="20"/>
          <w:szCs w:val="20"/>
          <w:lang w:eastAsia="de-DE"/>
        </w:rPr>
        <w:t>Übergangsregelung zum Mindestlohn für Zeitungszusteller verfassungsgemäß – Nachtarbeitszuschlag</w:t>
      </w:r>
    </w:p>
    <w:p w:rsidR="00E07CDE" w:rsidRPr="004E4ABA" w:rsidRDefault="003C796D" w:rsidP="003C796D">
      <w:pPr>
        <w:spacing w:before="60" w:after="15"/>
        <w:ind w:right="540"/>
        <w:jc w:val="center"/>
        <w:rPr>
          <w:rFonts w:ascii="Arial" w:hAnsi="Arial" w:cs="Arial"/>
          <w:bCs/>
          <w:sz w:val="20"/>
          <w:szCs w:val="20"/>
        </w:rPr>
      </w:pPr>
      <w:r w:rsidRPr="004E4ABA">
        <w:rPr>
          <w:rFonts w:ascii="Arial" w:hAnsi="Arial" w:cs="Arial"/>
          <w:bCs/>
          <w:sz w:val="20"/>
          <w:szCs w:val="20"/>
          <w:lang w:eastAsia="de-DE"/>
        </w:rPr>
        <w:t xml:space="preserve">Bundesarbeitsgericht, </w:t>
      </w:r>
      <w:r w:rsidR="00E07CDE" w:rsidRPr="004E4ABA">
        <w:rPr>
          <w:rFonts w:ascii="Arial" w:hAnsi="Arial" w:cs="Arial"/>
          <w:bCs/>
          <w:sz w:val="20"/>
          <w:szCs w:val="20"/>
        </w:rPr>
        <w:t>Urteil vom 25. April 2018</w:t>
      </w:r>
      <w:r w:rsidRPr="004E4ABA">
        <w:rPr>
          <w:rFonts w:ascii="Arial" w:hAnsi="Arial" w:cs="Arial"/>
          <w:bCs/>
          <w:sz w:val="20"/>
          <w:szCs w:val="20"/>
        </w:rPr>
        <w:t>,</w:t>
      </w:r>
      <w:r w:rsidR="00E07CDE" w:rsidRPr="004E4ABA">
        <w:rPr>
          <w:rFonts w:ascii="Arial" w:hAnsi="Arial" w:cs="Arial"/>
          <w:bCs/>
          <w:sz w:val="20"/>
          <w:szCs w:val="20"/>
        </w:rPr>
        <w:t xml:space="preserve"> </w:t>
      </w:r>
      <w:r w:rsidRPr="004E4ABA">
        <w:rPr>
          <w:rFonts w:ascii="Arial" w:hAnsi="Arial" w:cs="Arial"/>
          <w:bCs/>
          <w:sz w:val="20"/>
          <w:szCs w:val="20"/>
        </w:rPr>
        <w:t>Az.</w:t>
      </w:r>
      <w:r w:rsidR="00E07CDE" w:rsidRPr="004E4ABA">
        <w:rPr>
          <w:rFonts w:ascii="Arial" w:hAnsi="Arial" w:cs="Arial"/>
          <w:bCs/>
          <w:sz w:val="20"/>
          <w:szCs w:val="20"/>
        </w:rPr>
        <w:t xml:space="preserve"> 5 AZR 25/17</w:t>
      </w:r>
    </w:p>
    <w:p w:rsidR="00E07CDE" w:rsidRPr="004E4ABA" w:rsidRDefault="00E07CDE" w:rsidP="00E07CDE">
      <w:pPr>
        <w:spacing w:before="60" w:after="15"/>
        <w:ind w:right="480"/>
        <w:jc w:val="both"/>
        <w:rPr>
          <w:rFonts w:ascii="Arial" w:hAnsi="Arial" w:cs="Arial"/>
          <w:b/>
          <w:bCs/>
          <w:sz w:val="20"/>
          <w:szCs w:val="20"/>
          <w:lang w:eastAsia="de-DE"/>
        </w:rPr>
      </w:pPr>
    </w:p>
    <w:p w:rsidR="003C796D" w:rsidRPr="004E4ABA" w:rsidRDefault="00E07CDE" w:rsidP="00E07CDE">
      <w:pPr>
        <w:spacing w:before="60" w:after="15"/>
        <w:ind w:right="480"/>
        <w:jc w:val="both"/>
        <w:rPr>
          <w:rFonts w:ascii="Arial" w:hAnsi="Arial" w:cs="Arial"/>
          <w:sz w:val="20"/>
          <w:szCs w:val="20"/>
          <w:lang w:eastAsia="de-DE"/>
        </w:rPr>
      </w:pPr>
      <w:r w:rsidRPr="004E4ABA">
        <w:rPr>
          <w:rFonts w:ascii="Arial" w:hAnsi="Arial" w:cs="Arial"/>
          <w:sz w:val="20"/>
          <w:szCs w:val="20"/>
          <w:lang w:eastAsia="de-DE"/>
        </w:rPr>
        <w:t>Die Übergangsregelung des § 24 Abs. 2 MiLoG*, die für Zeitungszustellerinnen und Zeitungszusteller einen bis zum 31. Dezember 2015 auf 75 %, ab dem 1. Januar bis zum 31. Dezember 2016 auf 85 % herabgesetzten und für das Jahr 2017 auf 8,50 Euro festgesetzten gesetzlichen Mindestlohn vorgesehen hat, ist verfassungsgemäß und verstößt insbesondere nicht gegen Art. 3 Abs. 1 GG. Erfolgt die Zeitungszustellung dauerhaft in Nachtarbeit im Sinne des Arbeitszeitgesetzes, haben Zeitungszustellerinnen und Zeitungszusteller Anspruch auf einen Nachtarbeitszuschlag in Höhe von 30 % des ihnen je Arbeitsstunde zustehenden Mindestlohns, sofern nicht eine höhere Vergütung vereinbart ist.</w:t>
      </w:r>
    </w:p>
    <w:p w:rsidR="003C796D" w:rsidRPr="004E4ABA" w:rsidRDefault="00E07CDE" w:rsidP="00E07CDE">
      <w:pPr>
        <w:spacing w:before="60" w:after="15"/>
        <w:ind w:right="480"/>
        <w:jc w:val="both"/>
        <w:rPr>
          <w:rFonts w:ascii="Arial" w:hAnsi="Arial" w:cs="Arial"/>
          <w:sz w:val="20"/>
          <w:szCs w:val="20"/>
          <w:lang w:eastAsia="de-DE"/>
        </w:rPr>
      </w:pPr>
      <w:r w:rsidRPr="004E4ABA">
        <w:rPr>
          <w:rFonts w:ascii="Arial" w:hAnsi="Arial" w:cs="Arial"/>
          <w:sz w:val="20"/>
          <w:szCs w:val="20"/>
          <w:lang w:eastAsia="de-DE"/>
        </w:rPr>
        <w:t>Die Klägerin ist seit 2013 bei der Beklagten als Zeitungszustellerin beschäftigt. Sie arbeitet mehr als zwei Stunden ausschließlich zur Nachtzeit und stellt die Zeitungen bis spätestens 6.00 Uhr morgens zu. Arbeitsvertraglich vereinbart sind eine Vergütung auf Stücklohnbasis und ein Nachtarbeitszuschlag von 25 % auf den Stücklohn. Tatsächlich zahlte die Beklagte seit dem 1. Januar 2015 den geminderten Mindestlohn nach § 24 Abs. 2 MiLoG. Die Klägerin hat geltend gemacht, § 24 Abs. 2 MiLoG verstoße gegen den Gleichheitssatz des Art. 3 Abs. 1 GG und sei deshalb unwirksam. Sie hat mit ihrer Klage für den Zeitraum Januar 2015 bis April 2016 die Differenz zum vollen gesetzlichen Mindestlohn von 8,50 Euro brutto je Stunde (§ 1 Abs. 2 Satz 1 MiLoG) und einen höheren Nachtarbeitszuschlag verlangt. Dieser müsse nach § 6 Abs. 5 ArbZG** auf der Basis des gesetzlichen Mindestlohns berechnet werden und wegen Dauernachtarbeit 30 % betragen.</w:t>
      </w:r>
    </w:p>
    <w:p w:rsidR="003C796D" w:rsidRPr="004E4ABA" w:rsidRDefault="00E07CDE" w:rsidP="00E07CDE">
      <w:pPr>
        <w:spacing w:before="60" w:after="15"/>
        <w:ind w:right="480"/>
        <w:jc w:val="both"/>
        <w:rPr>
          <w:rFonts w:ascii="Arial" w:hAnsi="Arial" w:cs="Arial"/>
          <w:sz w:val="20"/>
          <w:szCs w:val="20"/>
          <w:lang w:eastAsia="de-DE"/>
        </w:rPr>
      </w:pPr>
      <w:r w:rsidRPr="004E4ABA">
        <w:rPr>
          <w:rFonts w:ascii="Arial" w:hAnsi="Arial" w:cs="Arial"/>
          <w:sz w:val="20"/>
          <w:szCs w:val="20"/>
          <w:lang w:eastAsia="de-DE"/>
        </w:rPr>
        <w:t>Das Arbeitsgericht hat die Klage im Wesentlichen abgewiesen. Das Landesarbeitsgericht hat angenommen, § 24 Abs. 2 MiLoG verstoße nicht gegen Art. 3 Abs. 1 GG, so dass die Klägerin in den streitgegenständlichen Jahren 2015 und 2016 nur den geminderten Mindestlohn von 6,38 Euro brutto (2015) bzw. 7,23 Euro brutto (2016) beanspruchen konnte. Darauf sei für Nachtarbeit ein Zuschlag von 25 % zu zahlen. Es hat der Klägerin insgesamt 236,24 Euro brutto nebst Zinsen als weiteren Nachtarbeitszuschlag zugesprochen und im Übrigen die Klage abgewiesen. Dagegen haben beide Parteien Revision eingelegt.</w:t>
      </w:r>
    </w:p>
    <w:p w:rsidR="00E07CDE" w:rsidRPr="004E4ABA" w:rsidRDefault="00E07CDE" w:rsidP="00E07CDE">
      <w:pPr>
        <w:spacing w:before="60" w:after="15"/>
        <w:ind w:right="480"/>
        <w:jc w:val="both"/>
        <w:rPr>
          <w:rFonts w:ascii="Arial" w:hAnsi="Arial" w:cs="Arial"/>
          <w:sz w:val="20"/>
          <w:szCs w:val="20"/>
          <w:lang w:eastAsia="de-DE"/>
        </w:rPr>
      </w:pPr>
      <w:r w:rsidRPr="004E4ABA">
        <w:rPr>
          <w:rFonts w:ascii="Arial" w:hAnsi="Arial" w:cs="Arial"/>
          <w:sz w:val="20"/>
          <w:szCs w:val="20"/>
          <w:lang w:eastAsia="de-DE"/>
        </w:rPr>
        <w:t>Die Revision der Beklagten, die einen Nachtarbeitszuschlag von 10 % auf den Mindestlohn für Zeitungszustellerinnen und Zeitungszusteller für angemessen hält, war vor dem Fünften Senat des Bundesarbeitsgerichts erfolglos. Denn die Klägerin hat auf der Grundlage des § 6 Abs. 5 ArbZG wegen ihrer Dauernachtarbeit Anspruch auf einen Zuschlag von 30 % des ihr zustehenden Bruttoarbeitsentgelts. Insoweit war die Revision der Klägerin erfolgreich. Im Übrigen hat der Senat jedoch die Revision der Klägerin zurückgewiesen. Diese hatte im Streitzeitraum nur Anspruch auf den abgesenkten Mindestlohn. § 24 Abs. 2 MiLoG verstößt nicht gegen Art. 3 Abs. 1 GG. Der Gesetzgeber hat die ihm bei zeitlich begrenzten Übergangsvorschriften vom Bundesverfassungsgericht eingeräumte besondere Gestaltungsfreiheit mit der auf drei Jahre begrenzten Sonderregelung des Mindestlohns für Zeitungszustellerinnen und Zeitungszusteller nicht überschritten.</w:t>
      </w:r>
    </w:p>
    <w:p w:rsidR="00E07CDE" w:rsidRDefault="00E07CDE" w:rsidP="00E07CDE">
      <w:pPr>
        <w:spacing w:before="60" w:after="15"/>
        <w:ind w:right="480"/>
        <w:jc w:val="both"/>
        <w:rPr>
          <w:rFonts w:ascii="Arial" w:hAnsi="Arial" w:cs="Arial"/>
          <w:b/>
          <w:bCs/>
          <w:color w:val="002060"/>
          <w:sz w:val="20"/>
          <w:szCs w:val="20"/>
          <w:u w:val="single"/>
          <w:lang w:eastAsia="de-DE"/>
        </w:rPr>
      </w:pPr>
    </w:p>
    <w:p w:rsidR="00E07CDE" w:rsidRPr="003C796D" w:rsidRDefault="00E07CDE" w:rsidP="00E07CDE">
      <w:pPr>
        <w:spacing w:before="60" w:after="15"/>
        <w:ind w:right="480"/>
        <w:jc w:val="both"/>
        <w:rPr>
          <w:rFonts w:ascii="Arial" w:hAnsi="Arial" w:cs="Arial"/>
          <w:b/>
          <w:bCs/>
          <w:i/>
          <w:iCs/>
          <w:color w:val="002060"/>
          <w:sz w:val="16"/>
          <w:szCs w:val="16"/>
          <w:lang w:eastAsia="de-DE"/>
        </w:rPr>
      </w:pPr>
      <w:r w:rsidRPr="003C796D">
        <w:rPr>
          <w:rFonts w:ascii="Arial" w:hAnsi="Arial" w:cs="Arial"/>
          <w:b/>
          <w:bCs/>
          <w:color w:val="002060"/>
          <w:sz w:val="16"/>
          <w:szCs w:val="16"/>
          <w:u w:val="single"/>
          <w:lang w:eastAsia="de-DE"/>
        </w:rPr>
        <w:t xml:space="preserve">Siehe: </w:t>
      </w:r>
    </w:p>
    <w:p w:rsidR="00E07CDE" w:rsidRDefault="00E07CDE" w:rsidP="00E07CDE">
      <w:pPr>
        <w:spacing w:before="60" w:after="15"/>
        <w:ind w:right="480"/>
        <w:jc w:val="both"/>
        <w:rPr>
          <w:rFonts w:ascii="Arial" w:hAnsi="Arial" w:cs="Arial"/>
          <w:color w:val="002060"/>
          <w:sz w:val="20"/>
          <w:szCs w:val="20"/>
          <w:lang w:eastAsia="de-DE"/>
        </w:rPr>
      </w:pPr>
      <w:hyperlink r:id="rId10" w:history="1">
        <w:r w:rsidRPr="003C796D">
          <w:rPr>
            <w:rStyle w:val="Hyperlink"/>
            <w:rFonts w:ascii="Arial" w:hAnsi="Arial" w:cs="Arial"/>
            <w:sz w:val="16"/>
            <w:szCs w:val="16"/>
            <w:lang w:eastAsia="de-DE"/>
          </w:rPr>
          <w:t>http://juris.bundesarbeitsgericht.de/cgi-bin/rechtsprechung/document.py?Gericht=bag&amp;Art=pm&amp;Datum=2018&amp;nr=20134&amp;pos=0&amp;anz=20&amp;titel=%DCbergangsregelung_zum_Mindestlohn_f%FCr_Zeitungszusteller_verfassungsgem%E4%DF_-_Nachtarbeitszuschlag</w:t>
        </w:r>
      </w:hyperlink>
      <w:r>
        <w:rPr>
          <w:rFonts w:ascii="Arial" w:hAnsi="Arial" w:cs="Arial"/>
          <w:color w:val="002060"/>
          <w:sz w:val="20"/>
          <w:szCs w:val="20"/>
          <w:lang w:eastAsia="de-DE"/>
        </w:rPr>
        <w:t xml:space="preserve"> </w:t>
      </w:r>
    </w:p>
    <w:p w:rsidR="00E07CDE" w:rsidRDefault="00E07CDE" w:rsidP="00E07CDE">
      <w:pPr>
        <w:spacing w:before="60" w:after="15"/>
        <w:ind w:right="480"/>
        <w:jc w:val="both"/>
        <w:rPr>
          <w:rFonts w:ascii="Arial" w:hAnsi="Arial" w:cs="Arial"/>
          <w:color w:val="002060"/>
          <w:sz w:val="20"/>
          <w:szCs w:val="20"/>
          <w:lang w:eastAsia="de-DE"/>
        </w:rPr>
      </w:pPr>
    </w:p>
    <w:p w:rsidR="003C796D" w:rsidRPr="004E4ABA" w:rsidRDefault="003C796D" w:rsidP="003C796D">
      <w:pPr>
        <w:spacing w:before="60" w:after="15"/>
        <w:ind w:right="480"/>
        <w:jc w:val="center"/>
        <w:rPr>
          <w:rFonts w:ascii="Arial" w:hAnsi="Arial" w:cs="Arial"/>
          <w:b/>
          <w:sz w:val="20"/>
          <w:szCs w:val="20"/>
          <w:lang w:eastAsia="de-DE"/>
        </w:rPr>
      </w:pPr>
      <w:r w:rsidRPr="004E4ABA">
        <w:rPr>
          <w:rFonts w:ascii="Arial" w:hAnsi="Arial" w:cs="Arial"/>
          <w:b/>
          <w:sz w:val="20"/>
          <w:szCs w:val="20"/>
          <w:lang w:eastAsia="de-DE"/>
        </w:rPr>
        <w:t>VI.</w:t>
      </w:r>
    </w:p>
    <w:p w:rsidR="00E07CDE" w:rsidRPr="004E4ABA" w:rsidRDefault="003C796D" w:rsidP="003C796D">
      <w:pPr>
        <w:spacing w:before="60" w:after="15"/>
        <w:ind w:right="480"/>
        <w:jc w:val="center"/>
        <w:rPr>
          <w:rFonts w:ascii="Arial" w:hAnsi="Arial" w:cs="Arial"/>
          <w:sz w:val="20"/>
          <w:szCs w:val="20"/>
          <w:lang w:eastAsia="de-DE"/>
        </w:rPr>
      </w:pPr>
      <w:r w:rsidRPr="004E4ABA">
        <w:rPr>
          <w:rFonts w:ascii="Arial" w:hAnsi="Arial" w:cs="Arial"/>
          <w:sz w:val="20"/>
          <w:szCs w:val="20"/>
          <w:lang w:eastAsia="de-DE"/>
        </w:rPr>
        <w:t>Bayerisches Landessozialgericht, Beschluss vom 22.03.2018, Az. L 7 R 5059/17</w:t>
      </w:r>
    </w:p>
    <w:p w:rsidR="003C796D" w:rsidRPr="004E4ABA" w:rsidRDefault="003C796D" w:rsidP="003C796D">
      <w:pPr>
        <w:spacing w:before="60" w:after="15"/>
        <w:ind w:right="480"/>
        <w:jc w:val="both"/>
        <w:rPr>
          <w:rFonts w:ascii="Arial" w:hAnsi="Arial" w:cs="Arial"/>
          <w:sz w:val="20"/>
          <w:szCs w:val="20"/>
          <w:lang w:eastAsia="de-DE"/>
        </w:rPr>
      </w:pPr>
    </w:p>
    <w:p w:rsidR="00E07CDE" w:rsidRPr="004E4ABA" w:rsidRDefault="003C796D" w:rsidP="003C796D">
      <w:pPr>
        <w:spacing w:before="60" w:after="15"/>
        <w:ind w:right="480"/>
        <w:jc w:val="both"/>
        <w:rPr>
          <w:rFonts w:ascii="Arial" w:hAnsi="Arial" w:cs="Arial"/>
          <w:sz w:val="20"/>
          <w:szCs w:val="20"/>
          <w:lang w:eastAsia="de-DE"/>
        </w:rPr>
      </w:pPr>
      <w:r w:rsidRPr="004E4ABA">
        <w:rPr>
          <w:rFonts w:ascii="Arial" w:hAnsi="Arial" w:cs="Arial"/>
          <w:sz w:val="20"/>
          <w:szCs w:val="20"/>
          <w:lang w:eastAsia="de-DE"/>
        </w:rPr>
        <w:t>Bereitschaftsdienst im Krankenhaus ist regelmäßig abhängige Beschäftigung des diesen Dienst leistenden Arztes</w:t>
      </w:r>
    </w:p>
    <w:p w:rsidR="003C796D" w:rsidRPr="003C796D" w:rsidRDefault="003C796D" w:rsidP="003C796D">
      <w:pPr>
        <w:spacing w:before="60" w:after="15"/>
        <w:ind w:right="480"/>
        <w:jc w:val="both"/>
        <w:rPr>
          <w:rFonts w:ascii="Arial" w:hAnsi="Arial" w:cs="Arial"/>
          <w:color w:val="002060"/>
          <w:sz w:val="20"/>
          <w:szCs w:val="20"/>
          <w:lang w:eastAsia="de-DE"/>
        </w:rPr>
      </w:pPr>
    </w:p>
    <w:p w:rsidR="00E07CDE" w:rsidRPr="003C796D" w:rsidRDefault="003C796D" w:rsidP="003C796D">
      <w:pPr>
        <w:jc w:val="center"/>
        <w:rPr>
          <w:rFonts w:ascii="Arial" w:hAnsi="Arial" w:cs="Arial"/>
          <w:b/>
          <w:sz w:val="20"/>
          <w:szCs w:val="20"/>
          <w:lang w:eastAsia="de-DE"/>
        </w:rPr>
      </w:pPr>
      <w:bookmarkStart w:id="1" w:name="DocInhalt"/>
      <w:bookmarkEnd w:id="1"/>
      <w:r w:rsidRPr="003C796D">
        <w:rPr>
          <w:rFonts w:ascii="Arial" w:hAnsi="Arial" w:cs="Arial"/>
          <w:b/>
          <w:sz w:val="20"/>
          <w:szCs w:val="20"/>
          <w:lang w:eastAsia="de-DE"/>
        </w:rPr>
        <w:t>VII.</w:t>
      </w:r>
    </w:p>
    <w:p w:rsidR="003C796D" w:rsidRDefault="003C796D" w:rsidP="003C796D">
      <w:pPr>
        <w:jc w:val="center"/>
        <w:rPr>
          <w:rFonts w:ascii="Arial" w:hAnsi="Arial" w:cs="Arial"/>
          <w:sz w:val="20"/>
          <w:szCs w:val="20"/>
          <w:lang w:eastAsia="de-DE"/>
        </w:rPr>
      </w:pPr>
      <w:r>
        <w:rPr>
          <w:rFonts w:ascii="Arial" w:hAnsi="Arial" w:cs="Arial"/>
          <w:sz w:val="20"/>
          <w:szCs w:val="20"/>
          <w:lang w:eastAsia="de-DE"/>
        </w:rPr>
        <w:t xml:space="preserve">AG Dortmund, Beschluss vom 10.04.2018, Az. </w:t>
      </w:r>
      <w:r w:rsidRPr="003C796D">
        <w:rPr>
          <w:rFonts w:ascii="Arial" w:hAnsi="Arial" w:cs="Arial"/>
          <w:sz w:val="20"/>
          <w:szCs w:val="20"/>
          <w:lang w:eastAsia="de-DE"/>
        </w:rPr>
        <w:t>425 C 7881/17</w:t>
      </w:r>
    </w:p>
    <w:p w:rsidR="003C796D" w:rsidRDefault="003C796D" w:rsidP="003C796D">
      <w:pPr>
        <w:rPr>
          <w:rFonts w:ascii="Arial" w:hAnsi="Arial" w:cs="Arial"/>
          <w:sz w:val="20"/>
          <w:szCs w:val="20"/>
          <w:lang w:eastAsia="de-DE"/>
        </w:rPr>
      </w:pPr>
    </w:p>
    <w:p w:rsidR="003C796D" w:rsidRPr="003C796D" w:rsidRDefault="003C796D" w:rsidP="004E4ABA">
      <w:pPr>
        <w:jc w:val="both"/>
        <w:rPr>
          <w:rFonts w:ascii="Arial" w:hAnsi="Arial" w:cs="Arial"/>
          <w:sz w:val="20"/>
          <w:szCs w:val="20"/>
          <w:lang w:eastAsia="de-DE"/>
        </w:rPr>
      </w:pPr>
      <w:r w:rsidRPr="003C796D">
        <w:rPr>
          <w:rFonts w:ascii="Arial" w:hAnsi="Arial" w:cs="Arial"/>
          <w:sz w:val="20"/>
          <w:szCs w:val="20"/>
          <w:lang w:eastAsia="de-DE"/>
        </w:rPr>
        <w:t>1. Der Betriebsrat ist nicht rechtsfähig.</w:t>
      </w:r>
    </w:p>
    <w:p w:rsidR="003C796D" w:rsidRPr="003C796D" w:rsidRDefault="003C796D" w:rsidP="004E4ABA">
      <w:pPr>
        <w:jc w:val="both"/>
        <w:rPr>
          <w:rFonts w:ascii="Arial" w:hAnsi="Arial" w:cs="Arial"/>
          <w:sz w:val="20"/>
          <w:szCs w:val="20"/>
          <w:lang w:eastAsia="de-DE"/>
        </w:rPr>
      </w:pPr>
      <w:r w:rsidRPr="003C796D">
        <w:rPr>
          <w:rFonts w:ascii="Arial" w:hAnsi="Arial" w:cs="Arial"/>
          <w:sz w:val="20"/>
          <w:szCs w:val="20"/>
          <w:lang w:eastAsia="de-DE"/>
        </w:rPr>
        <w:t>2. Er kann im eigenen Namen keine Job-Ticket-Verträge mit einem Verkehrsverbund abschließen.</w:t>
      </w:r>
    </w:p>
    <w:p w:rsidR="003C796D" w:rsidRPr="003C796D" w:rsidRDefault="003C796D" w:rsidP="004E4ABA">
      <w:pPr>
        <w:jc w:val="both"/>
        <w:rPr>
          <w:rFonts w:ascii="Arial" w:hAnsi="Arial" w:cs="Arial"/>
          <w:sz w:val="20"/>
          <w:szCs w:val="20"/>
          <w:lang w:eastAsia="de-DE"/>
        </w:rPr>
      </w:pPr>
      <w:r w:rsidRPr="003C796D">
        <w:rPr>
          <w:rFonts w:ascii="Arial" w:hAnsi="Arial" w:cs="Arial"/>
          <w:sz w:val="20"/>
          <w:szCs w:val="20"/>
          <w:lang w:eastAsia="de-DE"/>
        </w:rPr>
        <w:t>3. Er kann auch keine dritte Person beauftragen, für ihn Job-Ticket-Verträge, die er selbst geschlossen hat, "abzuwickeln", also Gelder einzuziehen oder sogar einzuklagen.</w:t>
      </w:r>
    </w:p>
    <w:p w:rsidR="003C796D" w:rsidRPr="003C796D" w:rsidRDefault="003C796D" w:rsidP="004E4ABA">
      <w:pPr>
        <w:jc w:val="both"/>
        <w:rPr>
          <w:rFonts w:ascii="Arial" w:hAnsi="Arial" w:cs="Arial"/>
          <w:sz w:val="20"/>
          <w:szCs w:val="20"/>
          <w:lang w:eastAsia="de-DE"/>
        </w:rPr>
      </w:pPr>
      <w:r w:rsidRPr="003C796D">
        <w:rPr>
          <w:rFonts w:ascii="Arial" w:hAnsi="Arial" w:cs="Arial"/>
          <w:sz w:val="20"/>
          <w:szCs w:val="20"/>
          <w:lang w:eastAsia="de-DE"/>
        </w:rPr>
        <w:t>4. Auch Ansprüche aus Geschäftsführung ohne Auftrag scheiden in diesem Fall aus.</w:t>
      </w:r>
    </w:p>
    <w:p w:rsidR="003C796D" w:rsidRPr="003C796D" w:rsidRDefault="003C796D" w:rsidP="004E4ABA">
      <w:pPr>
        <w:jc w:val="both"/>
        <w:rPr>
          <w:rFonts w:ascii="Arial" w:hAnsi="Arial" w:cs="Arial"/>
          <w:sz w:val="20"/>
          <w:szCs w:val="20"/>
          <w:lang w:eastAsia="de-DE"/>
        </w:rPr>
      </w:pPr>
      <w:r w:rsidRPr="003C796D">
        <w:rPr>
          <w:rFonts w:ascii="Arial" w:hAnsi="Arial" w:cs="Arial"/>
          <w:sz w:val="20"/>
          <w:szCs w:val="20"/>
          <w:lang w:eastAsia="de-DE"/>
        </w:rPr>
        <w:t>5. Eine in einem nach dem 30. September 2016 abgeschlossene Vertrag enthaltene Schriftformklausel ist gem. § 309 Nr. 13 BGB unwirksam.</w:t>
      </w:r>
    </w:p>
    <w:p w:rsidR="003C796D" w:rsidRDefault="003C796D" w:rsidP="004E4ABA">
      <w:pPr>
        <w:jc w:val="both"/>
        <w:rPr>
          <w:rFonts w:ascii="Arial" w:hAnsi="Arial" w:cs="Arial"/>
          <w:sz w:val="20"/>
          <w:szCs w:val="20"/>
          <w:lang w:eastAsia="de-DE"/>
        </w:rPr>
      </w:pPr>
      <w:r w:rsidRPr="003C796D">
        <w:rPr>
          <w:rFonts w:ascii="Arial" w:hAnsi="Arial" w:cs="Arial"/>
          <w:sz w:val="20"/>
          <w:szCs w:val="20"/>
          <w:lang w:eastAsia="de-DE"/>
        </w:rPr>
        <w:t>6. Ob die Unwirksamkeit des Schriftformerfordernisses zugleich auch die im gleichen Satz enthaltene Kündigungsfrist erfasst,</w:t>
      </w:r>
    </w:p>
    <w:p w:rsidR="003C796D" w:rsidRDefault="003C796D" w:rsidP="003C796D">
      <w:pPr>
        <w:rPr>
          <w:rFonts w:ascii="Arial" w:hAnsi="Arial" w:cs="Arial"/>
          <w:sz w:val="20"/>
          <w:szCs w:val="20"/>
          <w:lang w:eastAsia="de-DE"/>
        </w:rPr>
      </w:pPr>
    </w:p>
    <w:p w:rsidR="004E4ABA" w:rsidRDefault="004E4ABA" w:rsidP="003C796D">
      <w:pPr>
        <w:rPr>
          <w:rFonts w:ascii="Arial" w:hAnsi="Arial" w:cs="Arial"/>
          <w:sz w:val="20"/>
          <w:szCs w:val="20"/>
          <w:lang w:eastAsia="de-DE"/>
        </w:rPr>
      </w:pPr>
    </w:p>
    <w:p w:rsidR="004E4ABA" w:rsidRDefault="004E4ABA" w:rsidP="003C796D">
      <w:pPr>
        <w:rPr>
          <w:rFonts w:ascii="Arial" w:hAnsi="Arial" w:cs="Arial"/>
          <w:sz w:val="20"/>
          <w:szCs w:val="20"/>
          <w:lang w:eastAsia="de-DE"/>
        </w:rPr>
      </w:pPr>
    </w:p>
    <w:p w:rsidR="00E07CDE" w:rsidRPr="004E4ABA" w:rsidRDefault="003C796D" w:rsidP="004E4ABA">
      <w:pPr>
        <w:spacing w:before="60" w:after="15"/>
        <w:ind w:right="540"/>
        <w:jc w:val="center"/>
        <w:rPr>
          <w:rFonts w:ascii="Arial" w:hAnsi="Arial" w:cs="Arial"/>
          <w:b/>
          <w:bCs/>
          <w:sz w:val="20"/>
          <w:szCs w:val="20"/>
          <w:lang w:eastAsia="de-DE"/>
        </w:rPr>
      </w:pPr>
      <w:r w:rsidRPr="004E4ABA">
        <w:rPr>
          <w:rFonts w:ascii="Arial" w:hAnsi="Arial" w:cs="Arial"/>
          <w:b/>
          <w:bCs/>
          <w:sz w:val="20"/>
          <w:szCs w:val="20"/>
          <w:lang w:eastAsia="de-DE"/>
        </w:rPr>
        <w:t>VIII.</w:t>
      </w:r>
    </w:p>
    <w:p w:rsidR="003C796D" w:rsidRPr="004E4ABA" w:rsidRDefault="003C796D" w:rsidP="004E4ABA">
      <w:pPr>
        <w:spacing w:before="60" w:after="15"/>
        <w:ind w:right="480"/>
        <w:jc w:val="center"/>
        <w:rPr>
          <w:rFonts w:ascii="Arial" w:hAnsi="Arial" w:cs="Arial"/>
          <w:b/>
          <w:bCs/>
          <w:sz w:val="20"/>
          <w:szCs w:val="20"/>
          <w:lang w:eastAsia="de-DE"/>
        </w:rPr>
      </w:pPr>
      <w:r w:rsidRPr="004E4ABA">
        <w:rPr>
          <w:rFonts w:ascii="Arial" w:hAnsi="Arial" w:cs="Arial"/>
          <w:b/>
          <w:bCs/>
          <w:sz w:val="20"/>
          <w:szCs w:val="20"/>
          <w:lang w:eastAsia="de-DE"/>
        </w:rPr>
        <w:t>Entgeltumwandlung - Kündigung einer Direktversicherung im bestehenden Arbeitsverhältnis</w:t>
      </w:r>
    </w:p>
    <w:p w:rsidR="00E07CDE" w:rsidRPr="004E4ABA" w:rsidRDefault="003C796D" w:rsidP="004E4ABA">
      <w:pPr>
        <w:spacing w:before="60" w:after="15"/>
        <w:ind w:right="540"/>
        <w:jc w:val="center"/>
        <w:rPr>
          <w:rFonts w:ascii="Arial" w:hAnsi="Arial" w:cs="Arial"/>
          <w:bCs/>
          <w:sz w:val="20"/>
          <w:szCs w:val="20"/>
        </w:rPr>
      </w:pPr>
      <w:r w:rsidRPr="004E4ABA">
        <w:rPr>
          <w:rFonts w:ascii="Arial" w:hAnsi="Arial" w:cs="Arial"/>
          <w:bCs/>
          <w:sz w:val="20"/>
          <w:szCs w:val="20"/>
          <w:lang w:eastAsia="de-DE"/>
        </w:rPr>
        <w:t xml:space="preserve">Bundesarbeitsgericht, </w:t>
      </w:r>
      <w:r w:rsidR="00E07CDE" w:rsidRPr="004E4ABA">
        <w:rPr>
          <w:rFonts w:ascii="Arial" w:hAnsi="Arial" w:cs="Arial"/>
          <w:bCs/>
          <w:sz w:val="20"/>
          <w:szCs w:val="20"/>
        </w:rPr>
        <w:t>Urteil vom 26. April 2018</w:t>
      </w:r>
      <w:r w:rsidRPr="004E4ABA">
        <w:rPr>
          <w:rFonts w:ascii="Arial" w:hAnsi="Arial" w:cs="Arial"/>
          <w:bCs/>
          <w:sz w:val="20"/>
          <w:szCs w:val="20"/>
        </w:rPr>
        <w:t>,</w:t>
      </w:r>
      <w:r w:rsidR="00E07CDE" w:rsidRPr="004E4ABA">
        <w:rPr>
          <w:rFonts w:ascii="Arial" w:hAnsi="Arial" w:cs="Arial"/>
          <w:bCs/>
          <w:sz w:val="20"/>
          <w:szCs w:val="20"/>
        </w:rPr>
        <w:t xml:space="preserve"> </w:t>
      </w:r>
      <w:r w:rsidRPr="004E4ABA">
        <w:rPr>
          <w:rFonts w:ascii="Arial" w:hAnsi="Arial" w:cs="Arial"/>
          <w:bCs/>
          <w:sz w:val="20"/>
          <w:szCs w:val="20"/>
        </w:rPr>
        <w:t>Az.</w:t>
      </w:r>
      <w:r w:rsidR="00E07CDE" w:rsidRPr="004E4ABA">
        <w:rPr>
          <w:rFonts w:ascii="Arial" w:hAnsi="Arial" w:cs="Arial"/>
          <w:bCs/>
          <w:sz w:val="20"/>
          <w:szCs w:val="20"/>
        </w:rPr>
        <w:t xml:space="preserve"> 3 AZR 586/16</w:t>
      </w:r>
    </w:p>
    <w:p w:rsidR="00E07CDE" w:rsidRPr="004E4ABA" w:rsidRDefault="00E07CDE" w:rsidP="00E07CDE">
      <w:pPr>
        <w:spacing w:before="60" w:after="15"/>
        <w:ind w:right="480"/>
        <w:jc w:val="both"/>
        <w:rPr>
          <w:rFonts w:ascii="Arial" w:hAnsi="Arial" w:cs="Arial"/>
          <w:b/>
          <w:bCs/>
          <w:sz w:val="20"/>
          <w:szCs w:val="20"/>
          <w:lang w:eastAsia="de-DE"/>
        </w:rPr>
      </w:pPr>
    </w:p>
    <w:p w:rsidR="003C796D" w:rsidRPr="004E4ABA" w:rsidRDefault="00E07CDE" w:rsidP="00E07CDE">
      <w:pPr>
        <w:spacing w:before="60" w:after="15"/>
        <w:ind w:right="480"/>
        <w:jc w:val="both"/>
        <w:rPr>
          <w:rFonts w:ascii="Arial" w:hAnsi="Arial" w:cs="Arial"/>
          <w:sz w:val="20"/>
          <w:szCs w:val="20"/>
          <w:lang w:eastAsia="de-DE"/>
        </w:rPr>
      </w:pPr>
      <w:r w:rsidRPr="004E4ABA">
        <w:rPr>
          <w:rFonts w:ascii="Arial" w:hAnsi="Arial" w:cs="Arial"/>
          <w:sz w:val="20"/>
          <w:szCs w:val="20"/>
          <w:lang w:eastAsia="de-DE"/>
        </w:rPr>
        <w:t>Der bloße Geldbedarf eines Arbeitnehmers, für den der Arbeitgeber eine Direktversicherung zur Durchführung der betrieblichen Altersversorgung im Wege der Entgeltumwandlung abgeschlossen hat, begründet für sich genommen keinen Anspruch gegen den Arbeitgeber, den Versicherungsvertrag gegenüber der Versicherungsgesellschaft zu kündigen, damit der Arbeitnehmer den Rückkaufswert erhält.</w:t>
      </w:r>
    </w:p>
    <w:p w:rsidR="003C796D" w:rsidRPr="004E4ABA" w:rsidRDefault="00E07CDE" w:rsidP="00E07CDE">
      <w:pPr>
        <w:spacing w:before="60" w:after="15"/>
        <w:ind w:right="480"/>
        <w:jc w:val="both"/>
        <w:rPr>
          <w:rFonts w:ascii="Arial" w:hAnsi="Arial" w:cs="Arial"/>
          <w:sz w:val="20"/>
          <w:szCs w:val="20"/>
          <w:lang w:eastAsia="de-DE"/>
        </w:rPr>
      </w:pPr>
      <w:r w:rsidRPr="004E4ABA">
        <w:rPr>
          <w:rFonts w:ascii="Arial" w:hAnsi="Arial" w:cs="Arial"/>
          <w:sz w:val="20"/>
          <w:szCs w:val="20"/>
          <w:lang w:eastAsia="de-DE"/>
        </w:rPr>
        <w:t>Der Kläger schloss mit der beklagten Arbeitgeberin im Jahr 2001 eine Entgeltumwandlungsvereinbarung. Danach war die Arbeitgeberin verpflichtet, jährlich ca. 1.000,00 Euro in eine zugunsten des Klägers bestehende Direktversicherung, deren Versicherungsnehmerin sie ist, einzuzahlen. Die Versicherung, die von der Arbeitgeberin durch weitere Beiträge gefördert wird, ruht seit 2009. Mit seiner Klage verlangte der Kläger von der Beklagten die Kündigung des Versicherungsvertrags, weil er sich in einer finanziellen Notlage befinde.</w:t>
      </w:r>
    </w:p>
    <w:p w:rsidR="00E07CDE" w:rsidRPr="004E4ABA" w:rsidRDefault="00E07CDE" w:rsidP="00E07CDE">
      <w:pPr>
        <w:spacing w:before="60" w:after="15"/>
        <w:ind w:right="480"/>
        <w:jc w:val="both"/>
        <w:rPr>
          <w:rFonts w:ascii="Arial" w:hAnsi="Arial" w:cs="Arial"/>
          <w:sz w:val="20"/>
          <w:szCs w:val="20"/>
          <w:lang w:eastAsia="de-DE"/>
        </w:rPr>
      </w:pPr>
      <w:r w:rsidRPr="004E4ABA">
        <w:rPr>
          <w:rFonts w:ascii="Arial" w:hAnsi="Arial" w:cs="Arial"/>
          <w:sz w:val="20"/>
          <w:szCs w:val="20"/>
          <w:lang w:eastAsia="de-DE"/>
        </w:rPr>
        <w:t>Der Dritte Senat hat - wie die Vorinstanzen - die Klage abgewiesen. Der Kläger hat kein schutzwürdiges Interesse an der begehrten Kündigung. Die im Betriebsrentengesetz geregelte Entgeltumwandlung dient dazu, den Lebensstandard des Arbeitnehmers im Alter zumindest teilweise abzusichern. Mit dieser Zwecksetzung wäre es nicht vereinbar, wenn der Arbeitnehmer vom Arbeitgeber verlangen könnte, die Direktversicherung lediglich deshalb zu kündigen, um dem versicherten Arbeitnehmer die Möglichkeit zu verschaffen, das für den Versorgungsfall bereits angesparte Kapital für den Ausgleich von Schulden zu verwenden.</w:t>
      </w:r>
    </w:p>
    <w:p w:rsidR="00E07CDE" w:rsidRDefault="00E07CDE" w:rsidP="00E07CDE">
      <w:pPr>
        <w:spacing w:before="60" w:after="15"/>
        <w:ind w:right="480"/>
        <w:jc w:val="both"/>
        <w:rPr>
          <w:rFonts w:ascii="Arial" w:hAnsi="Arial" w:cs="Arial"/>
          <w:b/>
          <w:bCs/>
          <w:color w:val="002060"/>
          <w:sz w:val="20"/>
          <w:szCs w:val="20"/>
          <w:u w:val="single"/>
          <w:lang w:eastAsia="de-DE"/>
        </w:rPr>
      </w:pPr>
    </w:p>
    <w:p w:rsidR="00E07CDE" w:rsidRPr="003C796D" w:rsidRDefault="00E07CDE" w:rsidP="00E07CDE">
      <w:pPr>
        <w:spacing w:before="60" w:after="15"/>
        <w:ind w:right="480"/>
        <w:jc w:val="both"/>
        <w:rPr>
          <w:rFonts w:ascii="Arial" w:hAnsi="Arial" w:cs="Arial"/>
          <w:b/>
          <w:bCs/>
          <w:i/>
          <w:iCs/>
          <w:color w:val="002060"/>
          <w:sz w:val="16"/>
          <w:szCs w:val="16"/>
          <w:lang w:eastAsia="de-DE"/>
        </w:rPr>
      </w:pPr>
      <w:r w:rsidRPr="003C796D">
        <w:rPr>
          <w:rFonts w:ascii="Arial" w:hAnsi="Arial" w:cs="Arial"/>
          <w:b/>
          <w:bCs/>
          <w:color w:val="002060"/>
          <w:sz w:val="16"/>
          <w:szCs w:val="16"/>
          <w:u w:val="single"/>
          <w:lang w:eastAsia="de-DE"/>
        </w:rPr>
        <w:t xml:space="preserve">Siehe: </w:t>
      </w:r>
    </w:p>
    <w:p w:rsidR="00E07CDE" w:rsidRPr="003C796D" w:rsidRDefault="00E07CDE" w:rsidP="00E07CDE">
      <w:pPr>
        <w:rPr>
          <w:rFonts w:ascii="Arial" w:hAnsi="Arial" w:cs="Arial"/>
          <w:sz w:val="16"/>
          <w:szCs w:val="16"/>
          <w:lang w:eastAsia="de-DE"/>
        </w:rPr>
      </w:pPr>
      <w:hyperlink r:id="rId11" w:history="1">
        <w:r w:rsidRPr="003C796D">
          <w:rPr>
            <w:rStyle w:val="Hyperlink"/>
            <w:rFonts w:ascii="Arial" w:hAnsi="Arial" w:cs="Arial"/>
            <w:sz w:val="16"/>
            <w:szCs w:val="16"/>
            <w:lang w:eastAsia="de-DE"/>
          </w:rPr>
          <w:t>http://juris.bundesarbeitsgericht.de/cgi-bin/rechtsprechung/document.py?Gericht=bag&amp;Art=pm&amp;Datum=2018&amp;nr=20146&amp;pos=0&amp;anz=21&amp;titel=Entgeltumwandlung_-_K%FCndigung_einer_Direktversicherung_im_bestehenden_Arbeitsverh%E4ltnis</w:t>
        </w:r>
      </w:hyperlink>
    </w:p>
    <w:p w:rsidR="00E07CDE" w:rsidRDefault="00E07CDE" w:rsidP="00E07CDE">
      <w:pPr>
        <w:rPr>
          <w:rFonts w:ascii="Arial" w:hAnsi="Arial" w:cs="Arial"/>
          <w:sz w:val="20"/>
          <w:szCs w:val="20"/>
          <w:lang w:eastAsia="de-DE"/>
        </w:rPr>
      </w:pPr>
    </w:p>
    <w:p w:rsidR="00E07CDE" w:rsidRPr="004E4ABA" w:rsidRDefault="008439A3" w:rsidP="004E4ABA">
      <w:pPr>
        <w:jc w:val="center"/>
        <w:rPr>
          <w:rFonts w:ascii="Arial" w:hAnsi="Arial" w:cs="Arial"/>
          <w:b/>
          <w:sz w:val="20"/>
          <w:szCs w:val="20"/>
          <w:lang w:eastAsia="de-DE"/>
        </w:rPr>
      </w:pPr>
      <w:r w:rsidRPr="004E4ABA">
        <w:rPr>
          <w:rFonts w:ascii="Arial" w:hAnsi="Arial" w:cs="Arial"/>
          <w:b/>
          <w:sz w:val="20"/>
          <w:szCs w:val="20"/>
          <w:lang w:eastAsia="de-DE"/>
        </w:rPr>
        <w:t>IX.</w:t>
      </w:r>
    </w:p>
    <w:p w:rsidR="008439A3" w:rsidRPr="004E4ABA" w:rsidRDefault="008439A3" w:rsidP="004E4ABA">
      <w:pPr>
        <w:jc w:val="center"/>
        <w:rPr>
          <w:rFonts w:ascii="Arial" w:hAnsi="Arial" w:cs="Arial"/>
          <w:b/>
          <w:sz w:val="20"/>
          <w:szCs w:val="20"/>
          <w:lang w:eastAsia="de-DE"/>
        </w:rPr>
      </w:pPr>
      <w:r w:rsidRPr="004E4ABA">
        <w:rPr>
          <w:rFonts w:ascii="Arial" w:hAnsi="Arial" w:cs="Arial"/>
          <w:b/>
          <w:sz w:val="20"/>
          <w:szCs w:val="20"/>
          <w:lang w:eastAsia="de-DE"/>
        </w:rPr>
        <w:t>Streitwert, Wertfestsetzung, Weiterbeschäftigungsantrag, Hilfsantrag, uneigentlicher, Prozessvergleich</w:t>
      </w:r>
    </w:p>
    <w:p w:rsidR="00E07CDE" w:rsidRPr="004E4ABA" w:rsidRDefault="008439A3" w:rsidP="004E4ABA">
      <w:pPr>
        <w:jc w:val="center"/>
        <w:rPr>
          <w:rFonts w:ascii="Arial" w:hAnsi="Arial" w:cs="Arial"/>
          <w:bCs/>
          <w:sz w:val="20"/>
          <w:szCs w:val="20"/>
          <w:lang w:eastAsia="de-DE"/>
        </w:rPr>
      </w:pPr>
      <w:r w:rsidRPr="004E4ABA">
        <w:rPr>
          <w:rFonts w:ascii="Arial" w:hAnsi="Arial" w:cs="Arial"/>
          <w:bCs/>
          <w:sz w:val="20"/>
          <w:szCs w:val="20"/>
          <w:lang w:eastAsia="de-DE"/>
        </w:rPr>
        <w:t>LAG Schleswig-Holstein, Beschluss vom 31.01.2018, Az. 4 Ta 2/18</w:t>
      </w:r>
    </w:p>
    <w:p w:rsidR="008439A3" w:rsidRPr="004E4ABA" w:rsidRDefault="008439A3" w:rsidP="004E4ABA">
      <w:pPr>
        <w:jc w:val="both"/>
        <w:rPr>
          <w:rFonts w:ascii="Arial" w:hAnsi="Arial" w:cs="Arial"/>
          <w:bCs/>
          <w:sz w:val="20"/>
          <w:szCs w:val="20"/>
          <w:lang w:eastAsia="de-DE"/>
        </w:rPr>
      </w:pPr>
    </w:p>
    <w:p w:rsidR="008439A3" w:rsidRPr="004E4ABA" w:rsidRDefault="008439A3" w:rsidP="004E4ABA">
      <w:pPr>
        <w:jc w:val="both"/>
        <w:rPr>
          <w:rFonts w:ascii="Arial" w:hAnsi="Arial" w:cs="Arial"/>
          <w:bCs/>
          <w:sz w:val="20"/>
          <w:szCs w:val="20"/>
          <w:lang w:eastAsia="de-DE"/>
        </w:rPr>
      </w:pPr>
      <w:r w:rsidRPr="004E4ABA">
        <w:rPr>
          <w:rFonts w:ascii="Arial" w:hAnsi="Arial" w:cs="Arial"/>
          <w:bCs/>
          <w:sz w:val="20"/>
          <w:szCs w:val="20"/>
          <w:lang w:eastAsia="de-DE"/>
        </w:rPr>
        <w:t>Die Beteiligten zu 2. haben für den Beteiligten zu 1. am 19.10.2017 Klage erhoben mit den Anträgen auf Feststellung, dass das Arbeitsverhältnis der Parteien durch die ordentliche Kündigung der Beteiligten zu 3. vom 28.09.2017 nicht aufgelöst wurde und auch nicht durch andere Beendigungstatbestände geendet hat; außerdem die Beteiligte zu 3. zu verurteilen, den Beteiligten zu 1. weiter im Betrieb als Werkleiter zu beschäftigen und schließlich die Beteiligte zu 3. zu verurteilen, dem Beteiligten zu 1. ein qualifiziertes Zwischenzeugnis zu erteilen.</w:t>
      </w:r>
    </w:p>
    <w:p w:rsidR="008439A3" w:rsidRPr="004E4ABA" w:rsidRDefault="008439A3" w:rsidP="004E4ABA">
      <w:pPr>
        <w:jc w:val="both"/>
        <w:rPr>
          <w:rFonts w:ascii="Arial" w:hAnsi="Arial" w:cs="Arial"/>
          <w:bCs/>
          <w:sz w:val="20"/>
          <w:szCs w:val="20"/>
          <w:lang w:eastAsia="de-DE"/>
        </w:rPr>
      </w:pPr>
      <w:r w:rsidRPr="004E4ABA">
        <w:rPr>
          <w:rFonts w:ascii="Arial" w:hAnsi="Arial" w:cs="Arial"/>
          <w:bCs/>
          <w:sz w:val="20"/>
          <w:szCs w:val="20"/>
          <w:lang w:eastAsia="de-DE"/>
        </w:rPr>
        <w:t>In der Klagbegründung heißt es unter anderem, der Weiterbeschäftigungsantrag des Klägers sei berechtigt, da die Kündigung ohne rechtlichen Grund erfolgt sei. Zuvor hatten die Beteiligten zu 2. mit Schriftsatz vom 05.10.2017 die Beteiligte zu 3. Um Erklärung gebeten, dass der Beteiligte zu 1. im Falle eines Obsiegens mit einer Kündigungsschutzklage in erster Instanz auch ohne entsprechenden Beschäftigungsantrag ab dem Tag der Verkündung des Urteils mit der bisherigen Tätigkeit weiterbeschäftigt werde. Die Parteien haben sich vor dem Arbeitsgericht gemäß § 278 Abs. 6 ZPO geeinigt.</w:t>
      </w:r>
    </w:p>
    <w:p w:rsidR="004E4ABA" w:rsidRPr="004E4ABA" w:rsidRDefault="004E4ABA" w:rsidP="004E4ABA">
      <w:pPr>
        <w:jc w:val="both"/>
        <w:rPr>
          <w:rFonts w:ascii="Arial" w:hAnsi="Arial" w:cs="Arial"/>
          <w:b/>
          <w:bCs/>
          <w:color w:val="002060"/>
          <w:sz w:val="20"/>
          <w:szCs w:val="20"/>
          <w:u w:val="single"/>
          <w:lang w:eastAsia="de-DE"/>
        </w:rPr>
      </w:pPr>
    </w:p>
    <w:p w:rsidR="004E4ABA" w:rsidRPr="004E4ABA" w:rsidRDefault="004E4ABA" w:rsidP="004E4ABA">
      <w:pPr>
        <w:jc w:val="both"/>
        <w:rPr>
          <w:rFonts w:ascii="Arial" w:hAnsi="Arial" w:cs="Arial"/>
          <w:b/>
          <w:bCs/>
          <w:color w:val="002060"/>
          <w:sz w:val="16"/>
          <w:szCs w:val="16"/>
          <w:u w:val="single"/>
          <w:lang w:eastAsia="de-DE"/>
        </w:rPr>
      </w:pPr>
      <w:r w:rsidRPr="004E4ABA">
        <w:rPr>
          <w:rFonts w:ascii="Arial" w:hAnsi="Arial" w:cs="Arial"/>
          <w:b/>
          <w:bCs/>
          <w:color w:val="002060"/>
          <w:sz w:val="16"/>
          <w:szCs w:val="16"/>
          <w:u w:val="single"/>
          <w:lang w:eastAsia="de-DE"/>
        </w:rPr>
        <w:t>Siehe:</w:t>
      </w:r>
    </w:p>
    <w:p w:rsidR="008439A3" w:rsidRPr="008439A3" w:rsidRDefault="008439A3" w:rsidP="00E07CDE">
      <w:pPr>
        <w:rPr>
          <w:rFonts w:ascii="Arial" w:hAnsi="Arial" w:cs="Arial"/>
          <w:bCs/>
          <w:color w:val="002060"/>
          <w:sz w:val="16"/>
          <w:szCs w:val="16"/>
          <w:lang w:eastAsia="de-DE"/>
        </w:rPr>
      </w:pPr>
      <w:hyperlink r:id="rId12" w:history="1">
        <w:r w:rsidRPr="008439A3">
          <w:rPr>
            <w:rStyle w:val="Hyperlink"/>
            <w:rFonts w:ascii="Arial" w:hAnsi="Arial" w:cs="Arial"/>
            <w:bCs/>
            <w:sz w:val="16"/>
            <w:szCs w:val="16"/>
            <w:lang w:eastAsia="de-DE"/>
          </w:rPr>
          <w:t>https://www.sit.de/lagsh/ehome.nsf/62ACEA4B5A6D37F5C1258272003EFFAB/$file/B_4-Ta-2-18_31-01-2018.pdf</w:t>
        </w:r>
      </w:hyperlink>
    </w:p>
    <w:p w:rsidR="008439A3" w:rsidRPr="004E4ABA" w:rsidRDefault="008439A3" w:rsidP="00E07CDE">
      <w:pPr>
        <w:rPr>
          <w:rFonts w:ascii="Arial" w:hAnsi="Arial" w:cs="Arial"/>
          <w:bCs/>
          <w:lang w:eastAsia="de-DE"/>
        </w:rPr>
      </w:pPr>
    </w:p>
    <w:p w:rsidR="008439A3" w:rsidRPr="004E4ABA" w:rsidRDefault="008439A3" w:rsidP="00E6086C">
      <w:pPr>
        <w:jc w:val="center"/>
        <w:rPr>
          <w:rFonts w:ascii="Arial" w:hAnsi="Arial" w:cs="Arial"/>
          <w:b/>
          <w:bCs/>
          <w:sz w:val="20"/>
          <w:szCs w:val="20"/>
          <w:lang w:eastAsia="de-DE"/>
        </w:rPr>
      </w:pPr>
      <w:r w:rsidRPr="004E4ABA">
        <w:rPr>
          <w:rFonts w:ascii="Arial" w:hAnsi="Arial" w:cs="Arial"/>
          <w:b/>
          <w:bCs/>
          <w:sz w:val="20"/>
          <w:szCs w:val="20"/>
          <w:lang w:eastAsia="de-DE"/>
        </w:rPr>
        <w:t>X.</w:t>
      </w:r>
    </w:p>
    <w:p w:rsidR="008439A3" w:rsidRPr="004E4ABA" w:rsidRDefault="008439A3" w:rsidP="00E6086C">
      <w:pPr>
        <w:jc w:val="center"/>
        <w:rPr>
          <w:rFonts w:ascii="Arial" w:hAnsi="Arial" w:cs="Arial"/>
          <w:b/>
          <w:bCs/>
          <w:sz w:val="20"/>
          <w:szCs w:val="20"/>
          <w:lang w:eastAsia="de-DE"/>
        </w:rPr>
      </w:pPr>
      <w:r w:rsidRPr="004E4ABA">
        <w:rPr>
          <w:rFonts w:ascii="Arial" w:hAnsi="Arial" w:cs="Arial"/>
          <w:b/>
          <w:bCs/>
          <w:sz w:val="20"/>
          <w:szCs w:val="20"/>
          <w:lang w:eastAsia="de-DE"/>
        </w:rPr>
        <w:t>Wettbewerbsverbot, Ausweitung, Unverbindlichkeit, Abrede, Unwirksamkeit, Kündigung, Arbeitgeber, Umgehung, Zahlungspflicht, Karenzentschädigung, Reduktion, geltungserhaltende</w:t>
      </w:r>
    </w:p>
    <w:p w:rsidR="008439A3" w:rsidRPr="004E4ABA" w:rsidRDefault="008439A3" w:rsidP="004E4ABA">
      <w:pPr>
        <w:jc w:val="center"/>
        <w:rPr>
          <w:rFonts w:ascii="Arial" w:hAnsi="Arial" w:cs="Arial"/>
          <w:bCs/>
          <w:sz w:val="20"/>
          <w:szCs w:val="20"/>
          <w:lang w:eastAsia="de-DE"/>
        </w:rPr>
      </w:pPr>
      <w:r w:rsidRPr="004E4ABA">
        <w:rPr>
          <w:rFonts w:ascii="Arial" w:hAnsi="Arial" w:cs="Arial"/>
          <w:bCs/>
          <w:sz w:val="20"/>
          <w:szCs w:val="20"/>
          <w:lang w:eastAsia="de-DE"/>
        </w:rPr>
        <w:t>LAG Schleswig-Holstein, Urteil vom 24.01.2018, Az. 3 Sa 339/17</w:t>
      </w:r>
    </w:p>
    <w:p w:rsidR="008439A3" w:rsidRPr="004E4ABA" w:rsidRDefault="008439A3" w:rsidP="00E07CDE">
      <w:pPr>
        <w:rPr>
          <w:rFonts w:ascii="Arial" w:hAnsi="Arial" w:cs="Arial"/>
          <w:bCs/>
          <w:sz w:val="20"/>
          <w:szCs w:val="20"/>
          <w:lang w:eastAsia="de-DE"/>
        </w:rPr>
      </w:pPr>
    </w:p>
    <w:p w:rsidR="008439A3" w:rsidRPr="004E4ABA" w:rsidRDefault="008439A3" w:rsidP="004E4ABA">
      <w:pPr>
        <w:jc w:val="both"/>
        <w:rPr>
          <w:rFonts w:ascii="Arial" w:hAnsi="Arial" w:cs="Arial"/>
          <w:bCs/>
          <w:sz w:val="20"/>
          <w:szCs w:val="20"/>
          <w:lang w:eastAsia="de-DE"/>
        </w:rPr>
      </w:pPr>
      <w:r w:rsidRPr="004E4ABA">
        <w:rPr>
          <w:rFonts w:ascii="Arial" w:hAnsi="Arial" w:cs="Arial"/>
          <w:bCs/>
          <w:sz w:val="20"/>
          <w:szCs w:val="20"/>
          <w:lang w:eastAsia="de-DE"/>
        </w:rPr>
        <w:t>Die Parteien streiten im Wege einer Feststellungsklage über die Verbindlichkeit des im Arbeitsvertrag vereinbarten Wettbewerbsverbots.</w:t>
      </w:r>
    </w:p>
    <w:p w:rsidR="008439A3" w:rsidRPr="004E4ABA" w:rsidRDefault="008439A3" w:rsidP="004E4ABA">
      <w:pPr>
        <w:jc w:val="both"/>
        <w:rPr>
          <w:rFonts w:ascii="Arial" w:hAnsi="Arial" w:cs="Arial"/>
          <w:bCs/>
          <w:sz w:val="20"/>
          <w:szCs w:val="20"/>
          <w:lang w:eastAsia="de-DE"/>
        </w:rPr>
      </w:pPr>
      <w:r w:rsidRPr="004E4ABA">
        <w:rPr>
          <w:rFonts w:ascii="Arial" w:hAnsi="Arial" w:cs="Arial"/>
          <w:bCs/>
          <w:sz w:val="20"/>
          <w:szCs w:val="20"/>
          <w:lang w:eastAsia="de-DE"/>
        </w:rPr>
        <w:t>Der Kläger war bei der Beklagten vom 1. Dezember 2007 bis zum 30.06.2017 als kaufmännischer Angestellter beschäftigt. Er war im Bereich Einkauf für Gemüse- und Sauerkonserven sowie Olivenprodukte zuständig. Im Bereich Verkauf war der Kläger für das gesamte Sortiment der Beklagten tätig. Er bezog ein durchschnittliches Bruttomonatsgehalt iHv. EUR 5.500,00.</w:t>
      </w:r>
    </w:p>
    <w:p w:rsidR="008439A3" w:rsidRDefault="008439A3" w:rsidP="008439A3">
      <w:pPr>
        <w:rPr>
          <w:rFonts w:ascii="Arial" w:hAnsi="Arial" w:cs="Arial"/>
          <w:bCs/>
          <w:color w:val="002060"/>
          <w:lang w:eastAsia="de-DE"/>
        </w:rPr>
      </w:pPr>
    </w:p>
    <w:p w:rsidR="004E4ABA" w:rsidRPr="004E4ABA" w:rsidRDefault="004E4ABA" w:rsidP="004E4ABA">
      <w:pPr>
        <w:jc w:val="both"/>
        <w:rPr>
          <w:rFonts w:ascii="Arial" w:hAnsi="Arial" w:cs="Arial"/>
          <w:b/>
          <w:bCs/>
          <w:color w:val="002060"/>
          <w:sz w:val="16"/>
          <w:szCs w:val="16"/>
          <w:u w:val="single"/>
          <w:lang w:eastAsia="de-DE"/>
        </w:rPr>
      </w:pPr>
      <w:r w:rsidRPr="004E4ABA">
        <w:rPr>
          <w:rFonts w:ascii="Arial" w:hAnsi="Arial" w:cs="Arial"/>
          <w:b/>
          <w:bCs/>
          <w:color w:val="002060"/>
          <w:sz w:val="16"/>
          <w:szCs w:val="16"/>
          <w:u w:val="single"/>
          <w:lang w:eastAsia="de-DE"/>
        </w:rPr>
        <w:t>Siehe:</w:t>
      </w:r>
    </w:p>
    <w:p w:rsidR="008439A3" w:rsidRPr="008439A3" w:rsidRDefault="008439A3" w:rsidP="008439A3">
      <w:pPr>
        <w:rPr>
          <w:rFonts w:ascii="Arial" w:hAnsi="Arial" w:cs="Arial"/>
          <w:bCs/>
          <w:color w:val="002060"/>
          <w:sz w:val="16"/>
          <w:szCs w:val="16"/>
          <w:lang w:eastAsia="de-DE"/>
        </w:rPr>
      </w:pPr>
      <w:hyperlink r:id="rId13" w:history="1">
        <w:r w:rsidRPr="008439A3">
          <w:rPr>
            <w:rStyle w:val="Hyperlink"/>
            <w:rFonts w:ascii="Arial" w:hAnsi="Arial" w:cs="Arial"/>
            <w:bCs/>
            <w:sz w:val="16"/>
            <w:szCs w:val="16"/>
            <w:lang w:eastAsia="de-DE"/>
          </w:rPr>
          <w:t>https://www.sit.de/lagsh/ehome.nsf/3277A8586CC45FC1C1258272003EFFAC/$file/U_3-Sa-339-17_24-01-2018.pdf</w:t>
        </w:r>
      </w:hyperlink>
    </w:p>
    <w:p w:rsidR="008439A3" w:rsidRDefault="008439A3" w:rsidP="008439A3">
      <w:pPr>
        <w:rPr>
          <w:rFonts w:ascii="Arial" w:hAnsi="Arial" w:cs="Arial"/>
          <w:bCs/>
          <w:color w:val="002060"/>
          <w:lang w:eastAsia="de-DE"/>
        </w:rPr>
      </w:pPr>
    </w:p>
    <w:p w:rsidR="008439A3" w:rsidRPr="004E4ABA" w:rsidRDefault="008439A3" w:rsidP="00E6086C">
      <w:pPr>
        <w:jc w:val="center"/>
        <w:rPr>
          <w:rFonts w:ascii="Arial" w:hAnsi="Arial" w:cs="Arial"/>
          <w:b/>
          <w:bCs/>
          <w:sz w:val="20"/>
          <w:szCs w:val="20"/>
          <w:lang w:eastAsia="de-DE"/>
        </w:rPr>
      </w:pPr>
      <w:r w:rsidRPr="004E4ABA">
        <w:rPr>
          <w:rFonts w:ascii="Arial" w:hAnsi="Arial" w:cs="Arial"/>
          <w:b/>
          <w:bCs/>
          <w:sz w:val="20"/>
          <w:szCs w:val="20"/>
          <w:lang w:eastAsia="de-DE"/>
        </w:rPr>
        <w:t>XI.</w:t>
      </w:r>
    </w:p>
    <w:p w:rsidR="008439A3" w:rsidRPr="004E4ABA" w:rsidRDefault="008439A3" w:rsidP="00E6086C">
      <w:pPr>
        <w:jc w:val="center"/>
        <w:rPr>
          <w:rFonts w:ascii="Arial" w:hAnsi="Arial" w:cs="Arial"/>
          <w:b/>
          <w:bCs/>
          <w:sz w:val="20"/>
          <w:szCs w:val="20"/>
          <w:lang w:eastAsia="de-DE"/>
        </w:rPr>
      </w:pPr>
      <w:r w:rsidRPr="004E4ABA">
        <w:rPr>
          <w:rFonts w:ascii="Arial" w:hAnsi="Arial" w:cs="Arial"/>
          <w:b/>
          <w:bCs/>
          <w:sz w:val="20"/>
          <w:szCs w:val="20"/>
          <w:lang w:eastAsia="de-DE"/>
        </w:rPr>
        <w:t>Berufung, unzulässig verworfen, Berufungsbegründungsfrist, Versäumung, Nachtbriefkasten, Eingangsstempel, Beweiskraft, Urkundsbeweis, Gegenbeweis</w:t>
      </w:r>
    </w:p>
    <w:p w:rsidR="008439A3" w:rsidRPr="004E4ABA" w:rsidRDefault="008439A3" w:rsidP="00E6086C">
      <w:pPr>
        <w:jc w:val="center"/>
        <w:rPr>
          <w:rFonts w:ascii="Arial" w:hAnsi="Arial" w:cs="Arial"/>
          <w:bCs/>
          <w:sz w:val="20"/>
          <w:szCs w:val="20"/>
          <w:lang w:eastAsia="de-DE"/>
        </w:rPr>
      </w:pPr>
      <w:r w:rsidRPr="004E4ABA">
        <w:rPr>
          <w:rFonts w:ascii="Arial" w:hAnsi="Arial" w:cs="Arial"/>
          <w:bCs/>
          <w:sz w:val="20"/>
          <w:szCs w:val="20"/>
          <w:lang w:eastAsia="de-DE"/>
        </w:rPr>
        <w:t xml:space="preserve">LAG Schleswig-Holstein, </w:t>
      </w:r>
      <w:r w:rsidR="00E6086C" w:rsidRPr="004E4ABA">
        <w:rPr>
          <w:rFonts w:ascii="Arial" w:hAnsi="Arial" w:cs="Arial"/>
          <w:bCs/>
          <w:sz w:val="20"/>
          <w:szCs w:val="20"/>
          <w:lang w:eastAsia="de-DE"/>
        </w:rPr>
        <w:t xml:space="preserve">Urteil vom 24.01.2018, Az. </w:t>
      </w:r>
      <w:r w:rsidRPr="004E4ABA">
        <w:rPr>
          <w:rFonts w:ascii="Arial" w:hAnsi="Arial" w:cs="Arial"/>
          <w:bCs/>
          <w:sz w:val="20"/>
          <w:szCs w:val="20"/>
          <w:lang w:eastAsia="de-DE"/>
        </w:rPr>
        <w:t>5 Sa 315/17</w:t>
      </w:r>
    </w:p>
    <w:p w:rsidR="00E6086C" w:rsidRPr="004E4ABA" w:rsidRDefault="00E6086C" w:rsidP="00E6086C">
      <w:pPr>
        <w:jc w:val="center"/>
        <w:rPr>
          <w:rFonts w:ascii="Arial" w:hAnsi="Arial" w:cs="Arial"/>
          <w:bCs/>
          <w:sz w:val="20"/>
          <w:szCs w:val="20"/>
          <w:lang w:eastAsia="de-DE"/>
        </w:rPr>
      </w:pPr>
    </w:p>
    <w:p w:rsidR="00E6086C" w:rsidRPr="004E4ABA" w:rsidRDefault="00E6086C" w:rsidP="00E6086C">
      <w:pPr>
        <w:jc w:val="both"/>
        <w:rPr>
          <w:rFonts w:ascii="Arial" w:hAnsi="Arial" w:cs="Arial"/>
          <w:bCs/>
          <w:sz w:val="20"/>
          <w:szCs w:val="20"/>
          <w:lang w:eastAsia="de-DE"/>
        </w:rPr>
      </w:pPr>
      <w:r w:rsidRPr="004E4ABA">
        <w:rPr>
          <w:rFonts w:ascii="Arial" w:hAnsi="Arial" w:cs="Arial"/>
          <w:bCs/>
          <w:sz w:val="20"/>
          <w:szCs w:val="20"/>
          <w:lang w:eastAsia="de-DE"/>
        </w:rPr>
        <w:t>Die Parteien streiten um Vergütung aus einem Arbeitsverhältnis.</w:t>
      </w:r>
    </w:p>
    <w:p w:rsidR="00E6086C" w:rsidRPr="004E4ABA" w:rsidRDefault="00E6086C" w:rsidP="00E6086C">
      <w:pPr>
        <w:jc w:val="both"/>
        <w:rPr>
          <w:rFonts w:ascii="Arial" w:hAnsi="Arial" w:cs="Arial"/>
          <w:bCs/>
          <w:sz w:val="20"/>
          <w:szCs w:val="20"/>
          <w:lang w:eastAsia="de-DE"/>
        </w:rPr>
      </w:pPr>
      <w:r w:rsidRPr="004E4ABA">
        <w:rPr>
          <w:rFonts w:ascii="Arial" w:hAnsi="Arial" w:cs="Arial"/>
          <w:bCs/>
          <w:sz w:val="20"/>
          <w:szCs w:val="20"/>
          <w:lang w:eastAsia="de-DE"/>
        </w:rPr>
        <w:t>Der 64-jährige Kläger war vom 01.03.2007 bis zum 31.12.2016 bei der Beklagten als kaufmännischer Leiter und Mitarbeiter für Akquisition und Kundenbetreuung zu einem Bruttomonatsgehalt von 2.500,00 € beschäftigt. Zumindest seit Dezember 2015 war er von seinem Wohnort Hamburg aus vor allem im Außendienst tätig. Soweit hier von Belang enthält der zugrundeliegende Arbeitsvertrag folgende Regelungen</w:t>
      </w:r>
    </w:p>
    <w:p w:rsidR="00E6086C" w:rsidRDefault="00E6086C" w:rsidP="00E6086C">
      <w:pPr>
        <w:jc w:val="both"/>
        <w:rPr>
          <w:rFonts w:ascii="Arial" w:hAnsi="Arial" w:cs="Arial"/>
          <w:bCs/>
          <w:color w:val="002060"/>
          <w:lang w:eastAsia="de-DE"/>
        </w:rPr>
      </w:pPr>
    </w:p>
    <w:p w:rsidR="00E6086C" w:rsidRPr="004E4ABA" w:rsidRDefault="004E4ABA" w:rsidP="00E6086C">
      <w:pPr>
        <w:jc w:val="both"/>
        <w:rPr>
          <w:rFonts w:ascii="Arial" w:hAnsi="Arial" w:cs="Arial"/>
          <w:b/>
          <w:bCs/>
          <w:color w:val="002060"/>
          <w:sz w:val="16"/>
          <w:szCs w:val="16"/>
          <w:u w:val="single"/>
          <w:lang w:eastAsia="de-DE"/>
        </w:rPr>
      </w:pPr>
      <w:r w:rsidRPr="004E4ABA">
        <w:rPr>
          <w:rFonts w:ascii="Arial" w:hAnsi="Arial" w:cs="Arial"/>
          <w:b/>
          <w:bCs/>
          <w:color w:val="002060"/>
          <w:sz w:val="16"/>
          <w:szCs w:val="16"/>
          <w:u w:val="single"/>
          <w:lang w:eastAsia="de-DE"/>
        </w:rPr>
        <w:t>Siehe:</w:t>
      </w:r>
    </w:p>
    <w:p w:rsidR="00E6086C" w:rsidRDefault="00E6086C" w:rsidP="00E6086C">
      <w:pPr>
        <w:jc w:val="both"/>
        <w:rPr>
          <w:rFonts w:ascii="Arial" w:hAnsi="Arial" w:cs="Arial"/>
          <w:bCs/>
          <w:color w:val="002060"/>
          <w:sz w:val="16"/>
          <w:szCs w:val="16"/>
          <w:lang w:eastAsia="de-DE"/>
        </w:rPr>
      </w:pPr>
      <w:hyperlink r:id="rId14" w:history="1">
        <w:r w:rsidRPr="008E6258">
          <w:rPr>
            <w:rStyle w:val="Hyperlink"/>
            <w:rFonts w:ascii="Arial" w:hAnsi="Arial" w:cs="Arial"/>
            <w:bCs/>
            <w:sz w:val="16"/>
            <w:szCs w:val="16"/>
            <w:lang w:eastAsia="de-DE"/>
          </w:rPr>
          <w:t>https://www.sit.de/lagsh/ehome.nsf/F878D804160A4DFEC1258272003EFFAD/$file/U_5-Sa-315-17_25-01-2018.pdf</w:t>
        </w:r>
      </w:hyperlink>
    </w:p>
    <w:p w:rsidR="00E6086C" w:rsidRPr="002D44D9" w:rsidRDefault="00E6086C" w:rsidP="00E6086C">
      <w:pPr>
        <w:jc w:val="both"/>
        <w:rPr>
          <w:rFonts w:ascii="Arial" w:hAnsi="Arial" w:cs="Arial"/>
          <w:bCs/>
          <w:sz w:val="20"/>
          <w:szCs w:val="20"/>
          <w:lang w:eastAsia="de-DE"/>
        </w:rPr>
      </w:pPr>
    </w:p>
    <w:p w:rsidR="00E6086C" w:rsidRPr="004E4ABA" w:rsidRDefault="00E6086C" w:rsidP="00E6086C">
      <w:pPr>
        <w:jc w:val="center"/>
        <w:rPr>
          <w:rFonts w:ascii="Arial" w:hAnsi="Arial" w:cs="Arial"/>
          <w:b/>
          <w:bCs/>
          <w:sz w:val="20"/>
          <w:szCs w:val="20"/>
          <w:lang w:eastAsia="de-DE"/>
        </w:rPr>
      </w:pPr>
      <w:r w:rsidRPr="004E4ABA">
        <w:rPr>
          <w:rFonts w:ascii="Arial" w:hAnsi="Arial" w:cs="Arial"/>
          <w:b/>
          <w:bCs/>
          <w:sz w:val="20"/>
          <w:szCs w:val="20"/>
          <w:lang w:eastAsia="de-DE"/>
        </w:rPr>
        <w:t>XII.</w:t>
      </w:r>
    </w:p>
    <w:p w:rsidR="00E6086C" w:rsidRPr="004E4ABA" w:rsidRDefault="00E6086C" w:rsidP="00E6086C">
      <w:pPr>
        <w:jc w:val="center"/>
        <w:rPr>
          <w:rFonts w:ascii="Arial" w:hAnsi="Arial" w:cs="Arial"/>
          <w:b/>
          <w:bCs/>
          <w:sz w:val="20"/>
          <w:szCs w:val="20"/>
          <w:lang w:eastAsia="de-DE"/>
        </w:rPr>
      </w:pPr>
      <w:r w:rsidRPr="004E4ABA">
        <w:rPr>
          <w:rFonts w:ascii="Arial" w:hAnsi="Arial" w:cs="Arial"/>
          <w:b/>
          <w:bCs/>
          <w:sz w:val="20"/>
          <w:szCs w:val="20"/>
          <w:lang w:eastAsia="de-DE"/>
        </w:rPr>
        <w:t>Auslegung einer tariflichen Regelung zur Betriebsrentenanpassung</w:t>
      </w:r>
    </w:p>
    <w:p w:rsidR="00E6086C" w:rsidRPr="004E4ABA" w:rsidRDefault="00E6086C" w:rsidP="00E6086C">
      <w:pPr>
        <w:jc w:val="center"/>
        <w:rPr>
          <w:rFonts w:ascii="Arial" w:hAnsi="Arial" w:cs="Arial"/>
          <w:bCs/>
          <w:sz w:val="20"/>
          <w:szCs w:val="20"/>
          <w:lang w:eastAsia="de-DE"/>
        </w:rPr>
      </w:pPr>
      <w:r w:rsidRPr="004E4ABA">
        <w:rPr>
          <w:rFonts w:ascii="Arial" w:hAnsi="Arial" w:cs="Arial"/>
          <w:bCs/>
          <w:sz w:val="20"/>
          <w:szCs w:val="20"/>
          <w:lang w:eastAsia="de-DE"/>
        </w:rPr>
        <w:t>Landesarbeitsgericht Baden-Württemberg, Urteil vom 7.3.2018, Az. 4 Sa 52/17</w:t>
      </w:r>
    </w:p>
    <w:p w:rsidR="00E6086C" w:rsidRPr="00E6086C" w:rsidRDefault="00E6086C" w:rsidP="00E6086C">
      <w:pPr>
        <w:jc w:val="both"/>
        <w:rPr>
          <w:rFonts w:ascii="Arial" w:hAnsi="Arial" w:cs="Arial"/>
          <w:bCs/>
          <w:color w:val="002060"/>
          <w:sz w:val="20"/>
          <w:szCs w:val="20"/>
          <w:lang w:eastAsia="de-DE"/>
        </w:rPr>
      </w:pPr>
    </w:p>
    <w:p w:rsidR="00E6086C" w:rsidRPr="00E6086C" w:rsidRDefault="00E6086C" w:rsidP="00E6086C">
      <w:pPr>
        <w:jc w:val="both"/>
        <w:rPr>
          <w:rFonts w:ascii="Arial" w:hAnsi="Arial" w:cs="Arial"/>
          <w:b/>
          <w:bCs/>
          <w:color w:val="002060"/>
          <w:sz w:val="16"/>
          <w:szCs w:val="16"/>
          <w:u w:val="single"/>
          <w:lang w:eastAsia="de-DE"/>
        </w:rPr>
      </w:pPr>
      <w:r w:rsidRPr="00E6086C">
        <w:rPr>
          <w:rFonts w:ascii="Arial" w:hAnsi="Arial" w:cs="Arial"/>
          <w:b/>
          <w:bCs/>
          <w:color w:val="002060"/>
          <w:sz w:val="16"/>
          <w:szCs w:val="16"/>
          <w:u w:val="single"/>
          <w:lang w:eastAsia="de-DE"/>
        </w:rPr>
        <w:t xml:space="preserve">Siehe: </w:t>
      </w:r>
    </w:p>
    <w:p w:rsidR="00E6086C" w:rsidRDefault="00E6086C" w:rsidP="00E6086C">
      <w:pPr>
        <w:jc w:val="both"/>
        <w:rPr>
          <w:rFonts w:ascii="Arial" w:hAnsi="Arial" w:cs="Arial"/>
          <w:bCs/>
          <w:color w:val="002060"/>
          <w:sz w:val="16"/>
          <w:szCs w:val="16"/>
          <w:lang w:eastAsia="de-DE"/>
        </w:rPr>
      </w:pPr>
      <w:hyperlink r:id="rId15" w:history="1">
        <w:r w:rsidRPr="008E6258">
          <w:rPr>
            <w:rStyle w:val="Hyperlink"/>
            <w:rFonts w:ascii="Arial" w:hAnsi="Arial" w:cs="Arial"/>
            <w:bCs/>
            <w:sz w:val="16"/>
            <w:szCs w:val="16"/>
            <w:lang w:eastAsia="de-DE"/>
          </w:rPr>
          <w:t>http://lrbw.juris.de/cgi-bin/laender_rechtsprechung/document.py?Gericht=bw&amp;GerichtAuswahl=Arbeitsgerichte&amp;Art=en&amp;Datum=2018&amp;nr=23714&amp;pos=0&amp;anz=5</w:t>
        </w:r>
      </w:hyperlink>
    </w:p>
    <w:p w:rsidR="00E6086C" w:rsidRPr="004E4ABA" w:rsidRDefault="00E6086C" w:rsidP="00E6086C">
      <w:pPr>
        <w:jc w:val="both"/>
        <w:rPr>
          <w:rFonts w:ascii="Arial" w:hAnsi="Arial" w:cs="Arial"/>
          <w:bCs/>
          <w:sz w:val="20"/>
          <w:szCs w:val="20"/>
          <w:lang w:eastAsia="de-DE"/>
        </w:rPr>
      </w:pPr>
    </w:p>
    <w:p w:rsidR="00E6086C" w:rsidRPr="004E4ABA" w:rsidRDefault="00E6086C" w:rsidP="00E6086C">
      <w:pPr>
        <w:jc w:val="center"/>
        <w:rPr>
          <w:rFonts w:ascii="Arial" w:hAnsi="Arial" w:cs="Arial"/>
          <w:b/>
          <w:bCs/>
          <w:sz w:val="20"/>
          <w:szCs w:val="20"/>
          <w:lang w:eastAsia="de-DE"/>
        </w:rPr>
      </w:pPr>
      <w:r w:rsidRPr="004E4ABA">
        <w:rPr>
          <w:rFonts w:ascii="Arial" w:hAnsi="Arial" w:cs="Arial"/>
          <w:b/>
          <w:bCs/>
          <w:sz w:val="20"/>
          <w:szCs w:val="20"/>
          <w:lang w:eastAsia="de-DE"/>
        </w:rPr>
        <w:t>XI</w:t>
      </w:r>
      <w:r w:rsidR="002D44D9">
        <w:rPr>
          <w:rFonts w:ascii="Arial" w:hAnsi="Arial" w:cs="Arial"/>
          <w:b/>
          <w:bCs/>
          <w:sz w:val="20"/>
          <w:szCs w:val="20"/>
          <w:lang w:eastAsia="de-DE"/>
        </w:rPr>
        <w:t>II</w:t>
      </w:r>
      <w:r w:rsidRPr="004E4ABA">
        <w:rPr>
          <w:rFonts w:ascii="Arial" w:hAnsi="Arial" w:cs="Arial"/>
          <w:b/>
          <w:bCs/>
          <w:sz w:val="20"/>
          <w:szCs w:val="20"/>
          <w:lang w:eastAsia="de-DE"/>
        </w:rPr>
        <w:t>.</w:t>
      </w:r>
    </w:p>
    <w:p w:rsidR="00E6086C" w:rsidRPr="004E4ABA" w:rsidRDefault="00E6086C" w:rsidP="00E6086C">
      <w:pPr>
        <w:jc w:val="center"/>
        <w:rPr>
          <w:rFonts w:ascii="Arial" w:hAnsi="Arial" w:cs="Arial"/>
          <w:b/>
          <w:bCs/>
          <w:sz w:val="20"/>
          <w:szCs w:val="20"/>
          <w:lang w:eastAsia="de-DE"/>
        </w:rPr>
      </w:pPr>
      <w:r w:rsidRPr="004E4ABA">
        <w:rPr>
          <w:rFonts w:ascii="Arial" w:hAnsi="Arial" w:cs="Arial"/>
          <w:b/>
          <w:bCs/>
          <w:sz w:val="20"/>
          <w:szCs w:val="20"/>
          <w:lang w:eastAsia="de-DE"/>
        </w:rPr>
        <w:t>Übergangsregelung zum Mindestlohn für Zeitungszusteller verfassungsgemäß – Nachtarbeitszuschlag</w:t>
      </w:r>
    </w:p>
    <w:p w:rsidR="00E6086C" w:rsidRPr="004E4ABA" w:rsidRDefault="00E6086C" w:rsidP="00E6086C">
      <w:pPr>
        <w:jc w:val="center"/>
        <w:rPr>
          <w:rFonts w:ascii="Arial" w:hAnsi="Arial" w:cs="Arial"/>
          <w:bCs/>
          <w:sz w:val="20"/>
          <w:szCs w:val="20"/>
          <w:lang w:eastAsia="de-DE"/>
        </w:rPr>
      </w:pPr>
      <w:r w:rsidRPr="004E4ABA">
        <w:rPr>
          <w:rFonts w:ascii="Arial" w:hAnsi="Arial" w:cs="Arial"/>
          <w:bCs/>
          <w:sz w:val="20"/>
          <w:szCs w:val="20"/>
          <w:lang w:eastAsia="de-DE"/>
        </w:rPr>
        <w:t>Bundesarbeitsgericht, Urteil vom 25. April 2018, Az. 5 AZR 25/17</w:t>
      </w:r>
    </w:p>
    <w:p w:rsidR="00E6086C" w:rsidRPr="004E4ABA" w:rsidRDefault="00E6086C" w:rsidP="00E6086C">
      <w:pPr>
        <w:jc w:val="both"/>
        <w:rPr>
          <w:rFonts w:ascii="Arial" w:hAnsi="Arial" w:cs="Arial"/>
          <w:bCs/>
          <w:sz w:val="20"/>
          <w:szCs w:val="20"/>
          <w:lang w:eastAsia="de-DE"/>
        </w:rPr>
      </w:pPr>
    </w:p>
    <w:p w:rsidR="00E6086C" w:rsidRPr="004E4ABA" w:rsidRDefault="00E6086C" w:rsidP="00E6086C">
      <w:pPr>
        <w:jc w:val="both"/>
        <w:rPr>
          <w:rFonts w:ascii="Arial" w:hAnsi="Arial" w:cs="Arial"/>
          <w:bCs/>
          <w:sz w:val="20"/>
          <w:szCs w:val="20"/>
          <w:lang w:eastAsia="de-DE"/>
        </w:rPr>
      </w:pPr>
      <w:r w:rsidRPr="004E4ABA">
        <w:rPr>
          <w:rFonts w:ascii="Arial" w:hAnsi="Arial" w:cs="Arial"/>
          <w:bCs/>
          <w:sz w:val="20"/>
          <w:szCs w:val="20"/>
          <w:lang w:eastAsia="de-DE"/>
        </w:rPr>
        <w:t>Die Übergangsregelung des § 24 Abs. 2 MiLoG*, die für Zeitungszustellerinnen und Zeitungszusteller einen bis zum 31. Dezember 2015 auf 75 %, ab dem 1. Januar bis zum 31. Dezember 2016 auf 85 % herabgesetzten und für das Jahr 2017 auf 8,50 Euro festgesetzten gesetzlichen Mindestlohn vorgesehen hat, ist verfassungsgemäß und verstößt insbesondere nicht gegen Art. 3 Abs. 1 GG. Erfolgt die Zeitungszustellung dauerhaft in Nachtarbeit im Sinne des Arbeitszeitgesetzes, haben Zeitungszustellerinnen und Zeitungszusteller Anspruch auf einen Nachtarbeitszuschlag in Höhe von 30 % des ihnen je Arbeitsstunde zustehenden Mindestlohns, sofern nicht eine höhere Vergütung vereinbart ist.</w:t>
      </w:r>
    </w:p>
    <w:p w:rsidR="00E6086C" w:rsidRPr="004E4ABA" w:rsidRDefault="00E6086C" w:rsidP="00E6086C">
      <w:pPr>
        <w:jc w:val="both"/>
        <w:rPr>
          <w:rFonts w:ascii="Arial" w:hAnsi="Arial" w:cs="Arial"/>
          <w:bCs/>
          <w:sz w:val="20"/>
          <w:szCs w:val="20"/>
          <w:lang w:eastAsia="de-DE"/>
        </w:rPr>
      </w:pPr>
      <w:r w:rsidRPr="004E4ABA">
        <w:rPr>
          <w:rFonts w:ascii="Arial" w:hAnsi="Arial" w:cs="Arial"/>
          <w:bCs/>
          <w:sz w:val="20"/>
          <w:szCs w:val="20"/>
          <w:lang w:eastAsia="de-DE"/>
        </w:rPr>
        <w:t>Die Klägerin ist seit 2013 bei der Beklagten als Zeitungszustellerin beschäftigt. Sie arbeitet mehr als zwei Stunden ausschließlich zur Nachtzeit und stellt die Zeitungen bis spätestens 6.00 Uhr morgens zu. Arbeitsvertraglich vereinbart sind eine Vergütung auf Stücklohnbasis und ein Nachtarbeitszuschlag von 25 % auf den Stücklohn. Tatsächlich zahlte die Beklagte seit dem 1. Januar 2015 den geminderten Mindestlohn nach § 24 Abs. 2 MiLoG. Die Klägerin hat geltend gemacht, § 24 Abs. 2 MiLoG verstoße gegen den Gleichheitssatz des Art. 3 Abs. 1 GG und sei deshalb unwirksam. Sie hat mit ihrer Klage für den Zeitraum Januar 2015 bis April 2016 die Differenz zum vollen gesetzlichen Mindestlohn von 8,50 Euro brutto je Stunde (§ 1 Abs. 2 Satz 1 MiLoG) und einen höheren Nachtarbeitszuschlag verlangt. Dieser müsse nach § 6 Abs. 5 ArbZG** auf der Basis des gesetzlichen Mindestlohns berechnet werden und wegen Dauernachtarbeit 30 % betragen.</w:t>
      </w:r>
    </w:p>
    <w:p w:rsidR="00E6086C" w:rsidRPr="004E4ABA" w:rsidRDefault="00E6086C" w:rsidP="00E6086C">
      <w:pPr>
        <w:jc w:val="both"/>
        <w:rPr>
          <w:rFonts w:ascii="Arial" w:hAnsi="Arial" w:cs="Arial"/>
          <w:bCs/>
          <w:sz w:val="20"/>
          <w:szCs w:val="20"/>
          <w:lang w:eastAsia="de-DE"/>
        </w:rPr>
      </w:pPr>
      <w:r w:rsidRPr="004E4ABA">
        <w:rPr>
          <w:rFonts w:ascii="Arial" w:hAnsi="Arial" w:cs="Arial"/>
          <w:bCs/>
          <w:sz w:val="20"/>
          <w:szCs w:val="20"/>
          <w:lang w:eastAsia="de-DE"/>
        </w:rPr>
        <w:t>Das Arbeitsgericht hat die Klage im Wesentlichen abgewiesen. Das Landesarbeitsgericht hat angenommen, § 24 Abs. 2 MiLoG verstoße nicht gegen Art. 3 Abs. 1 GG, so dass die Klägerin in den streitgegenständlichen Jahren 2015 und 2016 nur den geminderten Mindestlohn von 6,38 Euro brutto (2015) bzw. 7,23 Euro brutto (2016) beanspruchen konnte. Darauf sei für Nachtarbeit ein Zuschlag von 25 % zu zahlen. Es hat der Klägerin insgesamt 236,24 Euro brutto nebst Zinsen als weiteren Nachtarbeitszuschlag zugesprochen und im Übrigen die Klage abgewiesen. Dagegen haben beide Parteien Revision eingelegt.</w:t>
      </w:r>
    </w:p>
    <w:p w:rsidR="00E6086C" w:rsidRPr="004E4ABA" w:rsidRDefault="00E6086C" w:rsidP="00E6086C">
      <w:pPr>
        <w:jc w:val="both"/>
        <w:rPr>
          <w:rFonts w:ascii="Arial" w:hAnsi="Arial" w:cs="Arial"/>
          <w:bCs/>
          <w:sz w:val="20"/>
          <w:szCs w:val="20"/>
          <w:lang w:eastAsia="de-DE"/>
        </w:rPr>
      </w:pPr>
      <w:r w:rsidRPr="004E4ABA">
        <w:rPr>
          <w:rFonts w:ascii="Arial" w:hAnsi="Arial" w:cs="Arial"/>
          <w:bCs/>
          <w:sz w:val="20"/>
          <w:szCs w:val="20"/>
          <w:lang w:eastAsia="de-DE"/>
        </w:rPr>
        <w:t>Die Revision der Beklagten, die einen Nachtarbeitszuschlag von 10 % auf den Mindestlohn für Zeitungszustellerinnen und Zeitungszusteller für angemessen hält, war vor dem Fünften Senat des Bundesarbeitsgerichts erfolglos. Denn die Klägerin hat auf der Grundlage des § 6 Abs. 5 ArbZG wegen ihrer Dauernachtarbeit Anspruch auf einen Zuschlag von 30 % des ihr zustehenden Bruttoarbeitsentgelts. Insoweit war die Revision der Klägerin erfolgreich. Im Übrigen hat der Senat jedoch die Revision der Klägerin zurückgewiesen. Diese hatte im Streitzeitraum nur Anspruch auf den abgesenkten Mindestlohn. § 24 Abs. 2 MiLoG verstößt nicht gegen Art. 3 Abs. 1 GG. Der Gesetzgeber hat die ihm bei zeitlich begrenzten Übergangsvorschriften vom Bundesverfassungsgericht eingeräumte besondere Gestaltungsfreiheit mit der auf drei Jahre begrenzten Sonderregelung des Mindestlohns für Zeitungszustellerinnen und Zeitungszusteller nicht überschritten.</w:t>
      </w:r>
    </w:p>
    <w:p w:rsidR="00E6086C" w:rsidRPr="00E6086C" w:rsidRDefault="00E6086C" w:rsidP="00E6086C">
      <w:pPr>
        <w:jc w:val="both"/>
        <w:rPr>
          <w:rFonts w:ascii="Arial" w:hAnsi="Arial" w:cs="Arial"/>
          <w:bCs/>
          <w:color w:val="002060"/>
          <w:sz w:val="20"/>
          <w:szCs w:val="20"/>
          <w:lang w:eastAsia="de-DE"/>
        </w:rPr>
      </w:pPr>
    </w:p>
    <w:p w:rsidR="00E6086C" w:rsidRPr="004E4ABA" w:rsidRDefault="00E6086C" w:rsidP="00E6086C">
      <w:pPr>
        <w:jc w:val="both"/>
        <w:rPr>
          <w:rFonts w:ascii="Arial" w:hAnsi="Arial" w:cs="Arial"/>
          <w:b/>
          <w:bCs/>
          <w:color w:val="002060"/>
          <w:sz w:val="16"/>
          <w:szCs w:val="16"/>
          <w:u w:val="single"/>
          <w:lang w:eastAsia="de-DE"/>
        </w:rPr>
      </w:pPr>
      <w:r w:rsidRPr="004E4ABA">
        <w:rPr>
          <w:rFonts w:ascii="Arial" w:hAnsi="Arial" w:cs="Arial"/>
          <w:b/>
          <w:bCs/>
          <w:color w:val="002060"/>
          <w:sz w:val="16"/>
          <w:szCs w:val="16"/>
          <w:u w:val="single"/>
          <w:lang w:eastAsia="de-DE"/>
        </w:rPr>
        <w:t xml:space="preserve">Siehe: </w:t>
      </w:r>
    </w:p>
    <w:p w:rsidR="00E6086C" w:rsidRPr="002D44D9" w:rsidRDefault="00E6086C" w:rsidP="00E6086C">
      <w:pPr>
        <w:jc w:val="both"/>
        <w:rPr>
          <w:rFonts w:ascii="Arial" w:hAnsi="Arial" w:cs="Arial"/>
          <w:bCs/>
          <w:color w:val="002060"/>
          <w:sz w:val="16"/>
          <w:szCs w:val="16"/>
          <w:lang w:eastAsia="de-DE"/>
        </w:rPr>
      </w:pPr>
      <w:r w:rsidRPr="002D44D9">
        <w:rPr>
          <w:rFonts w:ascii="Arial" w:hAnsi="Arial" w:cs="Arial"/>
          <w:bCs/>
          <w:color w:val="002060"/>
          <w:sz w:val="16"/>
          <w:szCs w:val="16"/>
          <w:lang w:eastAsia="de-DE"/>
        </w:rPr>
        <w:t xml:space="preserve">http://juris.bundesarbeitsgericht.de/cgi-bin/rechtsprechung/document.py?Gericht=bag&amp;Art=pm&amp;Datum=2018&amp;nr=20134&amp;pos=0&amp;anz=20&amp;titel=%DCbergangsregelung_zum_Mindestlohn_f%FCr_Zeitungszusteller_verfassungsgem%E4%DF_-_Nachtarbeitszuschlag </w:t>
      </w:r>
    </w:p>
    <w:p w:rsidR="00E6086C" w:rsidRDefault="00E6086C" w:rsidP="00E6086C">
      <w:pPr>
        <w:jc w:val="both"/>
        <w:rPr>
          <w:rFonts w:ascii="Arial" w:hAnsi="Arial" w:cs="Arial"/>
          <w:bCs/>
          <w:sz w:val="20"/>
          <w:szCs w:val="20"/>
          <w:lang w:eastAsia="de-DE"/>
        </w:rPr>
      </w:pPr>
    </w:p>
    <w:p w:rsidR="002D44D9" w:rsidRDefault="002D44D9" w:rsidP="00E6086C">
      <w:pPr>
        <w:jc w:val="both"/>
        <w:rPr>
          <w:rFonts w:ascii="Arial" w:hAnsi="Arial" w:cs="Arial"/>
          <w:bCs/>
          <w:sz w:val="20"/>
          <w:szCs w:val="20"/>
          <w:lang w:eastAsia="de-DE"/>
        </w:rPr>
      </w:pPr>
    </w:p>
    <w:p w:rsidR="002D44D9" w:rsidRPr="002D44D9" w:rsidRDefault="002D44D9" w:rsidP="002D44D9">
      <w:pPr>
        <w:jc w:val="both"/>
        <w:rPr>
          <w:rFonts w:ascii="Arial" w:hAnsi="Arial" w:cs="Arial"/>
          <w:bCs/>
          <w:sz w:val="20"/>
          <w:szCs w:val="20"/>
          <w:lang w:eastAsia="de-DE"/>
        </w:rPr>
      </w:pPr>
    </w:p>
    <w:p w:rsidR="002D44D9" w:rsidRPr="002D44D9" w:rsidRDefault="002D44D9" w:rsidP="002D44D9">
      <w:pPr>
        <w:jc w:val="both"/>
        <w:rPr>
          <w:rFonts w:ascii="Arial" w:hAnsi="Arial" w:cs="Arial"/>
          <w:bCs/>
          <w:sz w:val="20"/>
          <w:szCs w:val="20"/>
          <w:lang w:eastAsia="de-DE"/>
        </w:rPr>
      </w:pPr>
      <w:r w:rsidRPr="002D44D9">
        <w:rPr>
          <w:rFonts w:ascii="Arial" w:hAnsi="Arial" w:cs="Arial"/>
          <w:bCs/>
          <w:sz w:val="20"/>
          <w:szCs w:val="20"/>
          <w:lang w:eastAsia="de-DE"/>
        </w:rPr>
        <w:t>Mit freundlichen kollegialen Grüßen</w:t>
      </w:r>
    </w:p>
    <w:p w:rsidR="002D44D9" w:rsidRPr="002D44D9" w:rsidRDefault="002D44D9" w:rsidP="002D44D9">
      <w:pPr>
        <w:jc w:val="both"/>
        <w:rPr>
          <w:rFonts w:ascii="Arial" w:hAnsi="Arial" w:cs="Arial"/>
          <w:bCs/>
          <w:sz w:val="20"/>
          <w:szCs w:val="20"/>
          <w:lang w:eastAsia="de-DE"/>
        </w:rPr>
      </w:pPr>
      <w:r w:rsidRPr="002D44D9">
        <w:rPr>
          <w:rFonts w:ascii="Arial" w:hAnsi="Arial" w:cs="Arial"/>
          <w:bCs/>
          <w:sz w:val="20"/>
          <w:szCs w:val="20"/>
          <w:lang w:eastAsia="de-DE"/>
        </w:rPr>
        <w:t>Ihr</w:t>
      </w:r>
    </w:p>
    <w:p w:rsidR="002D44D9" w:rsidRPr="002D44D9" w:rsidRDefault="002D44D9" w:rsidP="002D44D9">
      <w:pPr>
        <w:jc w:val="both"/>
        <w:rPr>
          <w:rFonts w:ascii="Arial" w:hAnsi="Arial" w:cs="Arial"/>
          <w:bCs/>
          <w:sz w:val="20"/>
          <w:szCs w:val="20"/>
          <w:lang w:eastAsia="de-DE"/>
        </w:rPr>
      </w:pPr>
    </w:p>
    <w:p w:rsidR="002D44D9" w:rsidRPr="002D44D9" w:rsidRDefault="002D44D9" w:rsidP="002D44D9">
      <w:pPr>
        <w:jc w:val="both"/>
        <w:rPr>
          <w:rFonts w:ascii="Arial" w:hAnsi="Arial" w:cs="Arial"/>
          <w:bCs/>
          <w:sz w:val="20"/>
          <w:szCs w:val="20"/>
          <w:lang w:eastAsia="de-DE"/>
        </w:rPr>
      </w:pPr>
      <w:r w:rsidRPr="002D44D9">
        <w:rPr>
          <w:rFonts w:ascii="Arial" w:hAnsi="Arial" w:cs="Arial"/>
          <w:bCs/>
          <w:sz w:val="20"/>
          <w:szCs w:val="20"/>
          <w:lang w:eastAsia="de-DE"/>
        </w:rPr>
        <w:t>Michael Henn</w:t>
      </w:r>
    </w:p>
    <w:p w:rsidR="002D44D9" w:rsidRPr="002D44D9" w:rsidRDefault="002D44D9" w:rsidP="002D44D9">
      <w:pPr>
        <w:jc w:val="both"/>
        <w:rPr>
          <w:rFonts w:ascii="Arial" w:hAnsi="Arial" w:cs="Arial"/>
          <w:bCs/>
          <w:sz w:val="20"/>
          <w:szCs w:val="20"/>
          <w:lang w:eastAsia="de-DE"/>
        </w:rPr>
      </w:pPr>
      <w:r w:rsidRPr="002D44D9">
        <w:rPr>
          <w:rFonts w:ascii="Arial" w:hAnsi="Arial" w:cs="Arial"/>
          <w:bCs/>
          <w:sz w:val="20"/>
          <w:szCs w:val="20"/>
          <w:lang w:eastAsia="de-DE"/>
        </w:rPr>
        <w:t>Rechtsanwalt/</w:t>
      </w:r>
    </w:p>
    <w:p w:rsidR="002D44D9" w:rsidRPr="002D44D9" w:rsidRDefault="002D44D9" w:rsidP="002D44D9">
      <w:pPr>
        <w:jc w:val="both"/>
        <w:rPr>
          <w:rFonts w:ascii="Arial" w:hAnsi="Arial" w:cs="Arial"/>
          <w:bCs/>
          <w:sz w:val="20"/>
          <w:szCs w:val="20"/>
          <w:lang w:eastAsia="de-DE"/>
        </w:rPr>
      </w:pPr>
      <w:r w:rsidRPr="002D44D9">
        <w:rPr>
          <w:rFonts w:ascii="Arial" w:hAnsi="Arial" w:cs="Arial"/>
          <w:bCs/>
          <w:sz w:val="20"/>
          <w:szCs w:val="20"/>
          <w:lang w:eastAsia="de-DE"/>
        </w:rPr>
        <w:t>Fachanwalt für Arbeitsrecht/</w:t>
      </w:r>
    </w:p>
    <w:p w:rsidR="002D44D9" w:rsidRPr="002D44D9" w:rsidRDefault="002D44D9" w:rsidP="002D44D9">
      <w:pPr>
        <w:jc w:val="both"/>
        <w:rPr>
          <w:rFonts w:ascii="Arial" w:hAnsi="Arial" w:cs="Arial"/>
          <w:bCs/>
          <w:sz w:val="20"/>
          <w:szCs w:val="20"/>
          <w:lang w:eastAsia="de-DE"/>
        </w:rPr>
      </w:pPr>
      <w:r w:rsidRPr="002D44D9">
        <w:rPr>
          <w:rFonts w:ascii="Arial" w:hAnsi="Arial" w:cs="Arial"/>
          <w:bCs/>
          <w:sz w:val="20"/>
          <w:szCs w:val="20"/>
          <w:lang w:eastAsia="de-DE"/>
        </w:rPr>
        <w:t>Fachanwalt für Erbrecht</w:t>
      </w:r>
    </w:p>
    <w:p w:rsidR="002D44D9" w:rsidRPr="002D44D9" w:rsidRDefault="002D44D9" w:rsidP="002D44D9">
      <w:pPr>
        <w:jc w:val="both"/>
        <w:rPr>
          <w:rFonts w:ascii="Arial" w:hAnsi="Arial" w:cs="Arial"/>
          <w:bCs/>
          <w:sz w:val="20"/>
          <w:szCs w:val="20"/>
          <w:lang w:eastAsia="de-DE"/>
        </w:rPr>
      </w:pPr>
      <w:r w:rsidRPr="002D44D9">
        <w:rPr>
          <w:rFonts w:ascii="Arial" w:hAnsi="Arial" w:cs="Arial"/>
          <w:bCs/>
          <w:sz w:val="20"/>
          <w:szCs w:val="20"/>
          <w:lang w:eastAsia="de-DE"/>
        </w:rPr>
        <w:t xml:space="preserve">VDAA - Präsident </w:t>
      </w:r>
    </w:p>
    <w:p w:rsidR="002D44D9" w:rsidRPr="002D44D9" w:rsidRDefault="002D44D9" w:rsidP="002D44D9">
      <w:pPr>
        <w:jc w:val="both"/>
        <w:rPr>
          <w:rFonts w:ascii="Arial" w:hAnsi="Arial" w:cs="Arial"/>
          <w:bCs/>
          <w:sz w:val="20"/>
          <w:szCs w:val="20"/>
          <w:lang w:eastAsia="de-DE"/>
        </w:rPr>
      </w:pPr>
    </w:p>
    <w:p w:rsidR="002D44D9" w:rsidRPr="002D44D9" w:rsidRDefault="002D44D9" w:rsidP="002D44D9">
      <w:pPr>
        <w:jc w:val="both"/>
        <w:rPr>
          <w:rFonts w:ascii="Arial" w:hAnsi="Arial" w:cs="Arial"/>
          <w:bCs/>
          <w:sz w:val="20"/>
          <w:szCs w:val="20"/>
          <w:lang w:eastAsia="de-DE"/>
        </w:rPr>
      </w:pPr>
      <w:r w:rsidRPr="002D44D9">
        <w:rPr>
          <w:rFonts w:ascii="Arial" w:hAnsi="Arial" w:cs="Arial"/>
          <w:bCs/>
          <w:sz w:val="20"/>
          <w:szCs w:val="20"/>
          <w:lang w:eastAsia="de-DE"/>
        </w:rPr>
        <w:t xml:space="preserve"> </w:t>
      </w:r>
    </w:p>
    <w:p w:rsidR="002D44D9" w:rsidRPr="002D44D9" w:rsidRDefault="002D44D9" w:rsidP="002D44D9">
      <w:pPr>
        <w:jc w:val="both"/>
        <w:rPr>
          <w:rFonts w:ascii="Arial" w:hAnsi="Arial" w:cs="Arial"/>
          <w:bCs/>
          <w:sz w:val="20"/>
          <w:szCs w:val="20"/>
          <w:lang w:eastAsia="de-DE"/>
        </w:rPr>
      </w:pPr>
      <w:r w:rsidRPr="002D44D9">
        <w:rPr>
          <w:rFonts w:ascii="Arial" w:hAnsi="Arial" w:cs="Arial"/>
          <w:bCs/>
          <w:sz w:val="20"/>
          <w:szCs w:val="20"/>
          <w:lang w:eastAsia="de-DE"/>
        </w:rPr>
        <w:t>VDAA Verband deutscher ArbeitsrechtsAnwälte e. V.</w:t>
      </w:r>
    </w:p>
    <w:p w:rsidR="002D44D9" w:rsidRPr="002D44D9" w:rsidRDefault="002D44D9" w:rsidP="002D44D9">
      <w:pPr>
        <w:jc w:val="both"/>
        <w:rPr>
          <w:rFonts w:ascii="Arial" w:hAnsi="Arial" w:cs="Arial"/>
          <w:bCs/>
          <w:sz w:val="20"/>
          <w:szCs w:val="20"/>
          <w:lang w:eastAsia="de-DE"/>
        </w:rPr>
      </w:pPr>
      <w:r w:rsidRPr="002D44D9">
        <w:rPr>
          <w:rFonts w:ascii="Arial" w:hAnsi="Arial" w:cs="Arial"/>
          <w:bCs/>
          <w:sz w:val="20"/>
          <w:szCs w:val="20"/>
          <w:lang w:eastAsia="de-DE"/>
        </w:rPr>
        <w:t>Kronprinzstr. 14</w:t>
      </w:r>
    </w:p>
    <w:p w:rsidR="002D44D9" w:rsidRPr="002D44D9" w:rsidRDefault="002D44D9" w:rsidP="002D44D9">
      <w:pPr>
        <w:jc w:val="both"/>
        <w:rPr>
          <w:rFonts w:ascii="Arial" w:hAnsi="Arial" w:cs="Arial"/>
          <w:bCs/>
          <w:sz w:val="20"/>
          <w:szCs w:val="20"/>
          <w:lang w:eastAsia="de-DE"/>
        </w:rPr>
      </w:pPr>
      <w:r w:rsidRPr="002D44D9">
        <w:rPr>
          <w:rFonts w:ascii="Arial" w:hAnsi="Arial" w:cs="Arial"/>
          <w:bCs/>
          <w:sz w:val="20"/>
          <w:szCs w:val="20"/>
          <w:lang w:eastAsia="de-DE"/>
        </w:rPr>
        <w:t>70173 Stuttgart</w:t>
      </w:r>
    </w:p>
    <w:p w:rsidR="002D44D9" w:rsidRPr="002D44D9" w:rsidRDefault="002D44D9" w:rsidP="002D44D9">
      <w:pPr>
        <w:jc w:val="both"/>
        <w:rPr>
          <w:rFonts w:ascii="Arial" w:hAnsi="Arial" w:cs="Arial"/>
          <w:bCs/>
          <w:sz w:val="20"/>
          <w:szCs w:val="20"/>
          <w:lang w:eastAsia="de-DE"/>
        </w:rPr>
      </w:pPr>
      <w:r w:rsidRPr="002D44D9">
        <w:rPr>
          <w:rFonts w:ascii="Arial" w:hAnsi="Arial" w:cs="Arial"/>
          <w:bCs/>
          <w:sz w:val="20"/>
          <w:szCs w:val="20"/>
          <w:lang w:eastAsia="de-DE"/>
        </w:rPr>
        <w:t>Tel.: 0711 – 3058 9320</w:t>
      </w:r>
    </w:p>
    <w:p w:rsidR="002D44D9" w:rsidRPr="002D44D9" w:rsidRDefault="002D44D9" w:rsidP="002D44D9">
      <w:pPr>
        <w:jc w:val="both"/>
        <w:rPr>
          <w:rFonts w:ascii="Arial" w:hAnsi="Arial" w:cs="Arial"/>
          <w:bCs/>
          <w:sz w:val="20"/>
          <w:szCs w:val="20"/>
          <w:lang w:eastAsia="de-DE"/>
        </w:rPr>
      </w:pPr>
      <w:r w:rsidRPr="002D44D9">
        <w:rPr>
          <w:rFonts w:ascii="Arial" w:hAnsi="Arial" w:cs="Arial"/>
          <w:bCs/>
          <w:sz w:val="20"/>
          <w:szCs w:val="20"/>
          <w:lang w:eastAsia="de-DE"/>
        </w:rPr>
        <w:t>Fax: 0711 -  3058 9311</w:t>
      </w:r>
    </w:p>
    <w:p w:rsidR="002D44D9" w:rsidRPr="002D44D9" w:rsidRDefault="002D44D9" w:rsidP="002D44D9">
      <w:pPr>
        <w:jc w:val="both"/>
        <w:rPr>
          <w:rFonts w:ascii="Arial" w:hAnsi="Arial" w:cs="Arial"/>
          <w:bCs/>
          <w:sz w:val="20"/>
          <w:szCs w:val="20"/>
          <w:lang w:eastAsia="de-DE"/>
        </w:rPr>
      </w:pPr>
      <w:r w:rsidRPr="002D44D9">
        <w:rPr>
          <w:rFonts w:ascii="Arial" w:hAnsi="Arial" w:cs="Arial"/>
          <w:bCs/>
          <w:sz w:val="20"/>
          <w:szCs w:val="20"/>
          <w:lang w:eastAsia="de-DE"/>
        </w:rPr>
        <w:t>Email: info@vdaa.de</w:t>
      </w:r>
    </w:p>
    <w:p w:rsidR="002D44D9" w:rsidRPr="002D44D9" w:rsidRDefault="002D44D9" w:rsidP="002D44D9">
      <w:pPr>
        <w:jc w:val="both"/>
        <w:rPr>
          <w:rFonts w:ascii="Arial" w:hAnsi="Arial" w:cs="Arial"/>
          <w:bCs/>
          <w:sz w:val="20"/>
          <w:szCs w:val="20"/>
          <w:lang w:eastAsia="de-DE"/>
        </w:rPr>
      </w:pPr>
      <w:r w:rsidRPr="002D44D9">
        <w:rPr>
          <w:rFonts w:ascii="Arial" w:hAnsi="Arial" w:cs="Arial"/>
          <w:bCs/>
          <w:sz w:val="20"/>
          <w:szCs w:val="20"/>
          <w:lang w:eastAsia="de-DE"/>
        </w:rPr>
        <w:t>www.vdaa.de</w:t>
      </w:r>
    </w:p>
    <w:sectPr w:rsidR="002D44D9" w:rsidRPr="002D44D9">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3ED" w:rsidRDefault="00F123ED" w:rsidP="003C796D">
      <w:r>
        <w:separator/>
      </w:r>
    </w:p>
  </w:endnote>
  <w:endnote w:type="continuationSeparator" w:id="0">
    <w:p w:rsidR="00F123ED" w:rsidRDefault="00F123ED" w:rsidP="003C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3ED" w:rsidRDefault="00F123ED" w:rsidP="003C796D">
      <w:r>
        <w:separator/>
      </w:r>
    </w:p>
  </w:footnote>
  <w:footnote w:type="continuationSeparator" w:id="0">
    <w:p w:rsidR="00F123ED" w:rsidRDefault="00F123ED" w:rsidP="003C7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E27" w:rsidRPr="00B77E27" w:rsidRDefault="00B77E27" w:rsidP="00B77E27">
    <w:pPr>
      <w:tabs>
        <w:tab w:val="center" w:pos="4536"/>
        <w:tab w:val="right" w:pos="9072"/>
      </w:tabs>
      <w:jc w:val="center"/>
      <w:rPr>
        <w:rFonts w:ascii="Arial" w:hAnsi="Arial"/>
      </w:rPr>
    </w:pPr>
    <w:r w:rsidRPr="00B77E27">
      <w:rPr>
        <w:rFonts w:ascii="Arial" w:hAnsi="Arial" w:cs="Arial"/>
        <w:b/>
        <w:bCs/>
        <w:sz w:val="28"/>
        <w:szCs w:val="28"/>
        <w:lang w:eastAsia="de-DE"/>
      </w:rPr>
      <w:t>VDAA- Arbeitsrechtsdepesche 04-2018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96003"/>
    <w:multiLevelType w:val="hybridMultilevel"/>
    <w:tmpl w:val="CA78FE02"/>
    <w:lvl w:ilvl="0" w:tplc="83329490">
      <w:start w:val="4"/>
      <w:numFmt w:val="bullet"/>
      <w:lvlText w:val="-"/>
      <w:lvlJc w:val="left"/>
      <w:pPr>
        <w:ind w:left="720" w:hanging="360"/>
      </w:pPr>
      <w:rPr>
        <w:rFonts w:ascii="Arial" w:eastAsia="Times New Roman" w:hAnsi="Arial" w:hint="default"/>
      </w:rPr>
    </w:lvl>
    <w:lvl w:ilvl="1" w:tplc="53F2E536">
      <w:start w:val="1"/>
      <w:numFmt w:val="decimal"/>
      <w:lvlText w:val="%2."/>
      <w:lvlJc w:val="left"/>
      <w:pPr>
        <w:tabs>
          <w:tab w:val="num" w:pos="1440"/>
        </w:tabs>
        <w:ind w:left="1440" w:hanging="360"/>
      </w:pPr>
      <w:rPr>
        <w:rFonts w:ascii="Arial" w:eastAsia="Times New Roman" w:hAnsi="Arial" w:cs="Arial"/>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 w15:restartNumberingAfterBreak="0">
    <w:nsid w:val="71B91CB0"/>
    <w:multiLevelType w:val="hybridMultilevel"/>
    <w:tmpl w:val="0DD06898"/>
    <w:lvl w:ilvl="0" w:tplc="3A320640">
      <w:start w:val="1"/>
      <w:numFmt w:val="upperRoman"/>
      <w:lvlText w:val="%1."/>
      <w:lvlJc w:val="left"/>
      <w:pPr>
        <w:ind w:left="1080" w:hanging="72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DE"/>
    <w:rsid w:val="00121F9A"/>
    <w:rsid w:val="002C4F28"/>
    <w:rsid w:val="002D44D9"/>
    <w:rsid w:val="003C796D"/>
    <w:rsid w:val="004D5736"/>
    <w:rsid w:val="004E4ABA"/>
    <w:rsid w:val="008439A3"/>
    <w:rsid w:val="008E6258"/>
    <w:rsid w:val="00956C2D"/>
    <w:rsid w:val="009969E6"/>
    <w:rsid w:val="009D45AC"/>
    <w:rsid w:val="009F01A9"/>
    <w:rsid w:val="00AB020A"/>
    <w:rsid w:val="00AB48CE"/>
    <w:rsid w:val="00B77E27"/>
    <w:rsid w:val="00B94A82"/>
    <w:rsid w:val="00D32887"/>
    <w:rsid w:val="00E07CDE"/>
    <w:rsid w:val="00E6086C"/>
    <w:rsid w:val="00EC6D5D"/>
    <w:rsid w:val="00F123ED"/>
    <w:rsid w:val="00F87C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B96157-3483-4CB8-BC94-4C23247D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4ABA"/>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7CDE"/>
    <w:rPr>
      <w:rFonts w:cs="Times New Roman"/>
      <w:color w:val="0000FF"/>
      <w:u w:val="single"/>
    </w:rPr>
  </w:style>
  <w:style w:type="paragraph" w:styleId="Listenabsatz">
    <w:name w:val="List Paragraph"/>
    <w:basedOn w:val="Standard"/>
    <w:uiPriority w:val="34"/>
    <w:qFormat/>
    <w:rsid w:val="00E07CDE"/>
    <w:pPr>
      <w:ind w:left="720"/>
    </w:pPr>
  </w:style>
  <w:style w:type="paragraph" w:styleId="Kopfzeile">
    <w:name w:val="header"/>
    <w:basedOn w:val="Standard"/>
    <w:link w:val="KopfzeileZchn"/>
    <w:uiPriority w:val="99"/>
    <w:unhideWhenUsed/>
    <w:rsid w:val="003C796D"/>
    <w:pPr>
      <w:tabs>
        <w:tab w:val="center" w:pos="4536"/>
        <w:tab w:val="right" w:pos="9072"/>
      </w:tabs>
    </w:pPr>
  </w:style>
  <w:style w:type="character" w:customStyle="1" w:styleId="KopfzeileZchn">
    <w:name w:val="Kopfzeile Zchn"/>
    <w:basedOn w:val="Absatz-Standardschriftart"/>
    <w:link w:val="Kopfzeile"/>
    <w:uiPriority w:val="99"/>
    <w:locked/>
    <w:rsid w:val="003C796D"/>
    <w:rPr>
      <w:rFonts w:ascii="Calibri" w:hAnsi="Calibri" w:cs="Times New Roman"/>
    </w:rPr>
  </w:style>
  <w:style w:type="paragraph" w:styleId="Fuzeile">
    <w:name w:val="footer"/>
    <w:basedOn w:val="Standard"/>
    <w:link w:val="FuzeileZchn"/>
    <w:uiPriority w:val="99"/>
    <w:unhideWhenUsed/>
    <w:rsid w:val="003C796D"/>
    <w:pPr>
      <w:tabs>
        <w:tab w:val="center" w:pos="4536"/>
        <w:tab w:val="right" w:pos="9072"/>
      </w:tabs>
    </w:pPr>
  </w:style>
  <w:style w:type="character" w:customStyle="1" w:styleId="FuzeileZchn">
    <w:name w:val="Fußzeile Zchn"/>
    <w:basedOn w:val="Absatz-Standardschriftart"/>
    <w:link w:val="Fuzeile"/>
    <w:uiPriority w:val="99"/>
    <w:locked/>
    <w:rsid w:val="003C796D"/>
    <w:rPr>
      <w:rFonts w:ascii="Calibri" w:hAnsi="Calibri" w:cs="Times New Roman"/>
    </w:rPr>
  </w:style>
  <w:style w:type="character" w:styleId="BesuchterLink">
    <w:name w:val="FollowedHyperlink"/>
    <w:basedOn w:val="Absatz-Standardschriftart"/>
    <w:uiPriority w:val="99"/>
    <w:semiHidden/>
    <w:unhideWhenUsed/>
    <w:rsid w:val="008439A3"/>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1159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rbw.juris.de/cgi-bin/laender_rechtsprechung/document.py?Gericht=bw&amp;GerichtAuswahl=Arbeitsgerichte&amp;Art=en&amp;Datum=2018&amp;nr=23708&amp;pos=4&amp;anz=5" TargetMode="External"/><Relationship Id="rId13" Type="http://schemas.openxmlformats.org/officeDocument/2006/relationships/hyperlink" Target="https://www.sit.de/lagsh/ehome.nsf/3277A8586CC45FC1C1258272003EFFAC/$file/U_3-Sa-339-17_24-01-2018.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ris.bundesarbeitsgericht.de/cgi-bin/rechtsprechung/document.py?Gericht=bag&amp;Art=pm&amp;Datum=2018&amp;nr=20081&amp;pos=0&amp;anz=18&amp;titel=Dynamische_Bezugnahmeklausel_-_%C4nderung_durch_Betriebsvereinbarung" TargetMode="External"/><Relationship Id="rId12" Type="http://schemas.openxmlformats.org/officeDocument/2006/relationships/hyperlink" Target="https://www.sit.de/lagsh/ehome.nsf/62ACEA4B5A6D37F5C1258272003EFFAB/$file/B_4-Ta-2-18_31-01-2018.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ris.bundesarbeitsgericht.de/cgi-bin/rechtsprechung/document.py?Gericht=bag&amp;Art=pm&amp;Datum=2018&amp;nr=20146&amp;pos=0&amp;anz=21&amp;titel=Entgeltumwandlung_-_K%FCndigung_einer_Direktversicherung_im_bestehenden_Arbeitsverh%E4ltnis" TargetMode="External"/><Relationship Id="rId5" Type="http://schemas.openxmlformats.org/officeDocument/2006/relationships/footnotes" Target="footnotes.xml"/><Relationship Id="rId15" Type="http://schemas.openxmlformats.org/officeDocument/2006/relationships/hyperlink" Target="http://lrbw.juris.de/cgi-bin/laender_rechtsprechung/document.py?Gericht=bw&amp;GerichtAuswahl=Arbeitsgerichte&amp;Art=en&amp;Datum=2018&amp;nr=23714&amp;pos=0&amp;anz=5" TargetMode="External"/><Relationship Id="rId10" Type="http://schemas.openxmlformats.org/officeDocument/2006/relationships/hyperlink" Target="http://juris.bundesarbeitsgericht.de/cgi-bin/rechtsprechung/document.py?Gericht=bag&amp;Art=pm&amp;Datum=2018&amp;nr=20134&amp;pos=0&amp;anz=20&amp;titel=%DCbergangsregelung_zum_Mindestlohn_f%FCr_Zeitungszusteller_verfassungsgem%E4%DF_-_Nachtarbeitszuschlag" TargetMode="External"/><Relationship Id="rId4" Type="http://schemas.openxmlformats.org/officeDocument/2006/relationships/webSettings" Target="webSettings.xml"/><Relationship Id="rId9" Type="http://schemas.openxmlformats.org/officeDocument/2006/relationships/hyperlink" Target="http://lrbw.juris.de/cgi-bin/laender_rechtsprechung/document.py?Gericht=bw&amp;GerichtAuswahl=Arbeitsgerichte&amp;Art=en&amp;Datum=2018&amp;nr=23714&amp;pos=0&amp;anz=5" TargetMode="External"/><Relationship Id="rId14" Type="http://schemas.openxmlformats.org/officeDocument/2006/relationships/hyperlink" Target="https://www.sit.de/lagsh/ehome.nsf/F878D804160A4DFEC1258272003EFFAD/$file/U_5-Sa-315-17_25-01-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427F8240.dotm</Template>
  <TotalTime>0</TotalTime>
  <Pages>6</Pages>
  <Words>2832</Words>
  <Characters>17848</Characters>
  <Application>Microsoft Office Word</Application>
  <DocSecurity>0</DocSecurity>
  <Lines>148</Lines>
  <Paragraphs>41</Paragraphs>
  <ScaleCrop>false</ScaleCrop>
  <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2018-06-05T10:07:00Z</dcterms:created>
  <dcterms:modified xsi:type="dcterms:W3CDTF">2018-06-05T10:07:00Z</dcterms:modified>
</cp:coreProperties>
</file>