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6D6951" w14:textId="77777777" w:rsidR="006677E2" w:rsidRPr="00572A58" w:rsidRDefault="006677E2" w:rsidP="006677E2">
      <w:pPr>
        <w:tabs>
          <w:tab w:val="left" w:pos="426"/>
        </w:tabs>
        <w:autoSpaceDE w:val="0"/>
        <w:autoSpaceDN w:val="0"/>
        <w:spacing w:after="200" w:line="276" w:lineRule="auto"/>
        <w:jc w:val="right"/>
        <w:rPr>
          <w:rFonts w:eastAsia="ヒラギノ角ゴ Pro W3"/>
          <w:color w:val="1F497D"/>
        </w:rPr>
      </w:pPr>
      <w:bookmarkStart w:id="0" w:name="_Hlk522114436"/>
      <w:bookmarkStart w:id="1" w:name="_GoBack"/>
      <w:bookmarkEnd w:id="1"/>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p w14:paraId="1D6E324D" w14:textId="77777777" w:rsidR="006677E2" w:rsidRPr="00572A58" w:rsidRDefault="006677E2" w:rsidP="006677E2">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14:paraId="55B413D2" w14:textId="77777777" w:rsidR="00E655F1" w:rsidRPr="00B14F16" w:rsidRDefault="00E655F1" w:rsidP="006677E2">
      <w:pPr>
        <w:spacing w:line="360" w:lineRule="auto"/>
        <w:jc w:val="both"/>
        <w:rPr>
          <w:rFonts w:ascii="Arial" w:hAnsi="Arial" w:cs="Arial"/>
          <w:b/>
          <w:bCs/>
          <w:sz w:val="22"/>
          <w:szCs w:val="22"/>
        </w:rPr>
      </w:pPr>
    </w:p>
    <w:p w14:paraId="777553EB" w14:textId="77777777" w:rsidR="00E14C49" w:rsidRPr="00E14C49" w:rsidRDefault="00E14C49" w:rsidP="006677E2">
      <w:pPr>
        <w:spacing w:line="360" w:lineRule="auto"/>
        <w:jc w:val="both"/>
        <w:rPr>
          <w:rFonts w:ascii="Arial" w:hAnsi="Arial" w:cs="Arial"/>
          <w:b/>
          <w:bCs/>
          <w:sz w:val="22"/>
          <w:szCs w:val="22"/>
        </w:rPr>
      </w:pPr>
      <w:r w:rsidRPr="00E14C49">
        <w:rPr>
          <w:rFonts w:ascii="Arial" w:hAnsi="Arial" w:cs="Arial"/>
          <w:b/>
          <w:bCs/>
          <w:sz w:val="22"/>
          <w:szCs w:val="22"/>
        </w:rPr>
        <w:t xml:space="preserve">Arbeitsgericht Bonn: Kein allgemeines Fragerecht nach Vorstrafen und Ermittlungsverfahren </w:t>
      </w:r>
    </w:p>
    <w:p w14:paraId="1BB3768B" w14:textId="77777777" w:rsidR="00D969D6" w:rsidRPr="006677E2" w:rsidRDefault="00D969D6" w:rsidP="006677E2">
      <w:pPr>
        <w:spacing w:line="360" w:lineRule="auto"/>
        <w:jc w:val="both"/>
        <w:rPr>
          <w:rFonts w:ascii="Arial" w:hAnsi="Arial" w:cs="Arial"/>
          <w:bCs/>
          <w:sz w:val="22"/>
          <w:szCs w:val="22"/>
        </w:rPr>
      </w:pPr>
    </w:p>
    <w:p w14:paraId="5F5CA283" w14:textId="77777777" w:rsidR="006677E2" w:rsidRPr="006677E2" w:rsidRDefault="006677E2" w:rsidP="006677E2">
      <w:pPr>
        <w:spacing w:line="360" w:lineRule="auto"/>
        <w:jc w:val="both"/>
        <w:rPr>
          <w:rFonts w:ascii="Arial" w:hAnsi="Arial" w:cs="Arial"/>
          <w:bCs/>
          <w:sz w:val="22"/>
          <w:szCs w:val="22"/>
        </w:rPr>
      </w:pPr>
      <w:r w:rsidRPr="006677E2">
        <w:rPr>
          <w:rFonts w:ascii="Arial" w:hAnsi="Arial" w:cs="Arial"/>
          <w:bCs/>
          <w:sz w:val="22"/>
          <w:szCs w:val="22"/>
        </w:rPr>
        <w:t>ein Artikel von Rechtsanwalt und Fachanwalt für Arbeitsrecht Michael Henn, Stuttgart</w:t>
      </w:r>
    </w:p>
    <w:p w14:paraId="30113ED6" w14:textId="77777777" w:rsidR="006677E2" w:rsidRPr="006677E2" w:rsidRDefault="006677E2" w:rsidP="006677E2">
      <w:pPr>
        <w:spacing w:line="360" w:lineRule="auto"/>
        <w:jc w:val="both"/>
        <w:rPr>
          <w:rFonts w:ascii="Arial" w:hAnsi="Arial" w:cs="Arial"/>
          <w:bCs/>
          <w:sz w:val="22"/>
          <w:szCs w:val="22"/>
        </w:rPr>
      </w:pPr>
    </w:p>
    <w:p w14:paraId="4811D613" w14:textId="4BFBAD2E" w:rsidR="00D969D6" w:rsidRDefault="00E14C49" w:rsidP="006677E2">
      <w:pPr>
        <w:spacing w:line="360" w:lineRule="auto"/>
        <w:jc w:val="both"/>
        <w:rPr>
          <w:rFonts w:ascii="Arial" w:hAnsi="Arial" w:cs="Arial"/>
          <w:b/>
          <w:bCs/>
          <w:sz w:val="22"/>
          <w:szCs w:val="22"/>
        </w:rPr>
      </w:pPr>
      <w:r w:rsidRPr="00E14C49">
        <w:rPr>
          <w:rFonts w:ascii="Arial" w:hAnsi="Arial" w:cs="Arial"/>
          <w:b/>
          <w:bCs/>
          <w:sz w:val="22"/>
          <w:szCs w:val="22"/>
        </w:rPr>
        <w:t>Es besteht im Rahmen des Einstellungsverfahrens kein allgemeines Fragerecht des Arbeitgebers nach Vorstrafen und Ermittlungsverfahren jedweder Art. Der Arbeitgeber darf bei einem Arbeitnehmer vielmehr nur Informationen zu solchen Vorstrafen und Ermittlungsverfahren einholen, die für den zu besetzenden Arbeitsplatz relevant sein können. Dies gilt auch im Rahmen eines Bewerbungsverfahrens für den öffentlichen Dienst.</w:t>
      </w:r>
    </w:p>
    <w:p w14:paraId="2CA179A5" w14:textId="77777777" w:rsidR="00E14C49" w:rsidRDefault="00E14C49" w:rsidP="006677E2">
      <w:pPr>
        <w:spacing w:line="360" w:lineRule="auto"/>
        <w:jc w:val="both"/>
        <w:rPr>
          <w:rFonts w:ascii="Arial" w:hAnsi="Arial" w:cs="Arial"/>
          <w:b/>
          <w:bCs/>
          <w:sz w:val="22"/>
          <w:szCs w:val="22"/>
        </w:rPr>
      </w:pPr>
    </w:p>
    <w:p w14:paraId="44534AF8" w14:textId="0A1BA1C2" w:rsidR="00132529" w:rsidRDefault="006745AF" w:rsidP="006677E2">
      <w:pPr>
        <w:spacing w:line="360" w:lineRule="auto"/>
        <w:jc w:val="both"/>
        <w:rPr>
          <w:rFonts w:ascii="Arial" w:hAnsi="Arial" w:cs="Arial"/>
          <w:i/>
          <w:iCs/>
          <w:sz w:val="22"/>
          <w:szCs w:val="22"/>
        </w:rPr>
      </w:pPr>
      <w:r>
        <w:rPr>
          <w:rFonts w:ascii="Arial" w:hAnsi="Arial" w:cs="Arial"/>
          <w:sz w:val="22"/>
          <w:szCs w:val="22"/>
        </w:rPr>
        <w:t xml:space="preserve">Darauf verweist </w:t>
      </w:r>
      <w:r w:rsidR="00132529" w:rsidRPr="00132529">
        <w:rPr>
          <w:rFonts w:ascii="Arial" w:hAnsi="Arial" w:cs="Arial"/>
          <w:sz w:val="22"/>
          <w:szCs w:val="22"/>
        </w:rPr>
        <w:t xml:space="preserve">der Stuttgarter Fachanwalt für Arbeitsrecht Michael Henn, Präsident des </w:t>
      </w:r>
      <w:r w:rsidR="00132529" w:rsidRPr="00206AB3">
        <w:rPr>
          <w:rFonts w:ascii="Arial" w:hAnsi="Arial" w:cs="Arial"/>
          <w:sz w:val="22"/>
          <w:szCs w:val="22"/>
        </w:rPr>
        <w:t xml:space="preserve">VDAA - Verband deutscher </w:t>
      </w:r>
      <w:proofErr w:type="spellStart"/>
      <w:r w:rsidR="00132529" w:rsidRPr="00206AB3">
        <w:rPr>
          <w:rFonts w:ascii="Arial" w:hAnsi="Arial" w:cs="Arial"/>
          <w:sz w:val="22"/>
          <w:szCs w:val="22"/>
        </w:rPr>
        <w:t>ArbeitsrechtsAnwälte</w:t>
      </w:r>
      <w:proofErr w:type="spellEnd"/>
      <w:r w:rsidR="00132529" w:rsidRPr="00206AB3">
        <w:rPr>
          <w:rFonts w:ascii="Arial" w:hAnsi="Arial" w:cs="Arial"/>
          <w:sz w:val="22"/>
          <w:szCs w:val="22"/>
        </w:rPr>
        <w:t xml:space="preserve"> e. V. mit Sitz in Stuttgart, unter Hinweis auf </w:t>
      </w:r>
      <w:r w:rsidR="00132529" w:rsidRPr="00D969D6">
        <w:rPr>
          <w:rFonts w:ascii="Arial" w:hAnsi="Arial" w:cs="Arial"/>
          <w:sz w:val="22"/>
          <w:szCs w:val="22"/>
        </w:rPr>
        <w:t xml:space="preserve">die Mitteilung des </w:t>
      </w:r>
      <w:r w:rsidR="00E14C49">
        <w:rPr>
          <w:rFonts w:ascii="Arial" w:hAnsi="Arial" w:cs="Arial"/>
          <w:sz w:val="22"/>
          <w:szCs w:val="22"/>
        </w:rPr>
        <w:t>A</w:t>
      </w:r>
      <w:r w:rsidR="00132529" w:rsidRPr="00D969D6">
        <w:rPr>
          <w:rFonts w:ascii="Arial" w:hAnsi="Arial" w:cs="Arial"/>
          <w:sz w:val="22"/>
          <w:szCs w:val="22"/>
        </w:rPr>
        <w:t xml:space="preserve">rbeitsgerichts </w:t>
      </w:r>
      <w:r w:rsidR="00E14C49">
        <w:rPr>
          <w:rFonts w:ascii="Arial" w:hAnsi="Arial" w:cs="Arial"/>
          <w:sz w:val="22"/>
          <w:szCs w:val="22"/>
        </w:rPr>
        <w:t xml:space="preserve">Bonn </w:t>
      </w:r>
      <w:r w:rsidR="00132529" w:rsidRPr="00D969D6">
        <w:rPr>
          <w:rFonts w:ascii="Arial" w:hAnsi="Arial" w:cs="Arial"/>
          <w:sz w:val="22"/>
          <w:szCs w:val="22"/>
        </w:rPr>
        <w:t>zu seine</w:t>
      </w:r>
      <w:r w:rsidR="00E37CC6" w:rsidRPr="00D969D6">
        <w:rPr>
          <w:rFonts w:ascii="Arial" w:hAnsi="Arial" w:cs="Arial"/>
          <w:sz w:val="22"/>
          <w:szCs w:val="22"/>
        </w:rPr>
        <w:t>m</w:t>
      </w:r>
      <w:r w:rsidR="00987A33" w:rsidRPr="00D969D6">
        <w:rPr>
          <w:rFonts w:ascii="Arial" w:hAnsi="Arial" w:cs="Arial"/>
          <w:sz w:val="22"/>
          <w:szCs w:val="22"/>
        </w:rPr>
        <w:t xml:space="preserve"> </w:t>
      </w:r>
      <w:r w:rsidR="00D969D6" w:rsidRPr="00D969D6">
        <w:rPr>
          <w:rFonts w:ascii="Arial" w:hAnsi="Arial" w:cs="Arial"/>
          <w:sz w:val="22"/>
          <w:szCs w:val="22"/>
        </w:rPr>
        <w:t xml:space="preserve">Urteil vom </w:t>
      </w:r>
      <w:r w:rsidR="00E14C49">
        <w:rPr>
          <w:rFonts w:ascii="Arial" w:hAnsi="Arial" w:cs="Arial"/>
          <w:sz w:val="22"/>
          <w:szCs w:val="22"/>
        </w:rPr>
        <w:t>20</w:t>
      </w:r>
      <w:r w:rsidR="00D969D6" w:rsidRPr="00D969D6">
        <w:rPr>
          <w:rFonts w:ascii="Arial" w:hAnsi="Arial" w:cs="Arial"/>
          <w:sz w:val="22"/>
          <w:szCs w:val="22"/>
        </w:rPr>
        <w:t xml:space="preserve">. Mai 2020 - </w:t>
      </w:r>
      <w:r w:rsidR="00E14C49" w:rsidRPr="00E14C49">
        <w:rPr>
          <w:rFonts w:ascii="Arial" w:hAnsi="Arial" w:cs="Arial"/>
          <w:sz w:val="22"/>
          <w:szCs w:val="22"/>
        </w:rPr>
        <w:t xml:space="preserve">5 </w:t>
      </w:r>
      <w:proofErr w:type="spellStart"/>
      <w:r w:rsidR="00E14C49" w:rsidRPr="00E14C49">
        <w:rPr>
          <w:rFonts w:ascii="Arial" w:hAnsi="Arial" w:cs="Arial"/>
          <w:sz w:val="22"/>
          <w:szCs w:val="22"/>
        </w:rPr>
        <w:t>Ca</w:t>
      </w:r>
      <w:proofErr w:type="spellEnd"/>
      <w:r w:rsidR="00E14C49" w:rsidRPr="00E14C49">
        <w:rPr>
          <w:rFonts w:ascii="Arial" w:hAnsi="Arial" w:cs="Arial"/>
          <w:sz w:val="22"/>
          <w:szCs w:val="22"/>
        </w:rPr>
        <w:t xml:space="preserve"> 83/20</w:t>
      </w:r>
      <w:r w:rsidR="00E14C49">
        <w:rPr>
          <w:rFonts w:ascii="Arial" w:hAnsi="Arial" w:cs="Arial"/>
          <w:sz w:val="22"/>
          <w:szCs w:val="22"/>
        </w:rPr>
        <w:t>.</w:t>
      </w:r>
    </w:p>
    <w:p w14:paraId="18749FEB" w14:textId="77777777" w:rsidR="00D969D6" w:rsidRDefault="00D969D6" w:rsidP="006677E2">
      <w:pPr>
        <w:spacing w:line="360" w:lineRule="auto"/>
        <w:jc w:val="both"/>
        <w:rPr>
          <w:rFonts w:ascii="Arial" w:hAnsi="Arial" w:cs="Arial"/>
          <w:sz w:val="22"/>
          <w:szCs w:val="22"/>
        </w:rPr>
      </w:pPr>
    </w:p>
    <w:p w14:paraId="1AF5E81F" w14:textId="68028F06" w:rsidR="00E14C49" w:rsidRDefault="00E14C49" w:rsidP="006677E2">
      <w:pPr>
        <w:spacing w:line="360" w:lineRule="auto"/>
        <w:jc w:val="both"/>
        <w:rPr>
          <w:rFonts w:ascii="Arial" w:hAnsi="Arial" w:cs="Arial"/>
          <w:sz w:val="22"/>
          <w:szCs w:val="22"/>
        </w:rPr>
      </w:pPr>
      <w:r w:rsidRPr="00E14C49">
        <w:rPr>
          <w:rFonts w:ascii="Arial" w:hAnsi="Arial" w:cs="Arial"/>
          <w:sz w:val="22"/>
          <w:szCs w:val="22"/>
        </w:rPr>
        <w:t>Der Kläger steht bei der Beklagten seit dem 01.08.2018 in einem Ausbildungsverhältnis zur Fachkraft für Lagerlogistik. Im Rahmen seiner Tätigkeit hat der Kläger Zugriff auf verschiedene hochwertige Vermögensgüter der Beklagten.</w:t>
      </w:r>
    </w:p>
    <w:p w14:paraId="4535B56B" w14:textId="77777777" w:rsidR="00E14C49" w:rsidRPr="00E14C49" w:rsidRDefault="00E14C49" w:rsidP="006677E2">
      <w:pPr>
        <w:spacing w:line="360" w:lineRule="auto"/>
        <w:jc w:val="both"/>
        <w:rPr>
          <w:rFonts w:ascii="Arial" w:hAnsi="Arial" w:cs="Arial"/>
          <w:sz w:val="22"/>
          <w:szCs w:val="22"/>
        </w:rPr>
      </w:pPr>
    </w:p>
    <w:p w14:paraId="66D69FB0" w14:textId="387D945A" w:rsidR="00E14C49" w:rsidRDefault="00E14C49" w:rsidP="006677E2">
      <w:pPr>
        <w:spacing w:line="360" w:lineRule="auto"/>
        <w:jc w:val="both"/>
        <w:rPr>
          <w:rFonts w:ascii="Arial" w:hAnsi="Arial" w:cs="Arial"/>
          <w:sz w:val="22"/>
          <w:szCs w:val="22"/>
        </w:rPr>
      </w:pPr>
      <w:r w:rsidRPr="00E14C49">
        <w:rPr>
          <w:rFonts w:ascii="Arial" w:hAnsi="Arial" w:cs="Arial"/>
          <w:sz w:val="22"/>
          <w:szCs w:val="22"/>
        </w:rPr>
        <w:t>Im Rahmen seines Einstellungsverfahrens bei der Beklagten füllte der Kläger ein „Personalblatt“ aus, in welchem er bei den Angaben zu „Gerichtlichen Verurteilungen / schwebende Verfahren“ die Antwortmöglichkeit „Nein“ ausgewählt hatte. Tatsächlich war dem Kläger zu diesem Zeitpunkt jedoch bekannt, dass gegen ihn ein Strafverfahren wegen Raubes anhängig war und die Hauptverhandlung eröffnet werden sollte. Im Juli 2019 wandte sich der Kläger sodann an seinen Vorgesetzten und teilte ihm mit, dass er eine Haftstrafe antreten müsse und er eine Erklärung der Beklagten benötige, dass er seine Ausbildung während seines Freigangs fortführen könne.</w:t>
      </w:r>
    </w:p>
    <w:p w14:paraId="44B1094D" w14:textId="77777777" w:rsidR="00E14C49" w:rsidRPr="00E14C49" w:rsidRDefault="00E14C49" w:rsidP="006677E2">
      <w:pPr>
        <w:spacing w:line="360" w:lineRule="auto"/>
        <w:jc w:val="both"/>
        <w:rPr>
          <w:rFonts w:ascii="Arial" w:hAnsi="Arial" w:cs="Arial"/>
          <w:sz w:val="22"/>
          <w:szCs w:val="22"/>
        </w:rPr>
      </w:pPr>
    </w:p>
    <w:p w14:paraId="52B90624" w14:textId="56BEA92F" w:rsidR="00E14C49" w:rsidRDefault="00E14C49" w:rsidP="006677E2">
      <w:pPr>
        <w:spacing w:line="360" w:lineRule="auto"/>
        <w:jc w:val="both"/>
        <w:rPr>
          <w:rFonts w:ascii="Arial" w:hAnsi="Arial" w:cs="Arial"/>
          <w:sz w:val="22"/>
          <w:szCs w:val="22"/>
        </w:rPr>
      </w:pPr>
      <w:r w:rsidRPr="00E14C49">
        <w:rPr>
          <w:rFonts w:ascii="Arial" w:hAnsi="Arial" w:cs="Arial"/>
          <w:sz w:val="22"/>
          <w:szCs w:val="22"/>
        </w:rPr>
        <w:t>Die Beklagte erklärte daraufhin mit Schreiben vom 20.11.2019 die Anfechtung des Ausbildungsvertrages des Klägers wegen arglistiger Täuschung.</w:t>
      </w:r>
    </w:p>
    <w:p w14:paraId="6B6D6496" w14:textId="77777777" w:rsidR="00E14C49" w:rsidRPr="00E14C49" w:rsidRDefault="00E14C49" w:rsidP="006677E2">
      <w:pPr>
        <w:spacing w:line="360" w:lineRule="auto"/>
        <w:jc w:val="both"/>
        <w:rPr>
          <w:rFonts w:ascii="Arial" w:hAnsi="Arial" w:cs="Arial"/>
          <w:sz w:val="22"/>
          <w:szCs w:val="22"/>
        </w:rPr>
      </w:pPr>
    </w:p>
    <w:p w14:paraId="1F2D7FCD" w14:textId="5EB8B9A3" w:rsidR="00E14C49" w:rsidRDefault="00E14C49" w:rsidP="006677E2">
      <w:pPr>
        <w:spacing w:line="360" w:lineRule="auto"/>
        <w:jc w:val="both"/>
        <w:rPr>
          <w:rFonts w:ascii="Arial" w:hAnsi="Arial" w:cs="Arial"/>
          <w:sz w:val="22"/>
          <w:szCs w:val="22"/>
        </w:rPr>
      </w:pPr>
      <w:r w:rsidRPr="00E14C49">
        <w:rPr>
          <w:rFonts w:ascii="Arial" w:hAnsi="Arial" w:cs="Arial"/>
          <w:sz w:val="22"/>
          <w:szCs w:val="22"/>
        </w:rPr>
        <w:t>Mit Urteil vom 20.05.2020 gab das Arbeitsgericht Bonn der Klage statt. Die Beklagte konnte den Ausbildungsvertrag des Klägers nicht wegen arglistiger Täuschung anfechten.</w:t>
      </w:r>
    </w:p>
    <w:p w14:paraId="6FB698D3" w14:textId="77777777" w:rsidR="00E14C49" w:rsidRPr="00E14C49" w:rsidRDefault="00E14C49" w:rsidP="006677E2">
      <w:pPr>
        <w:spacing w:line="360" w:lineRule="auto"/>
        <w:jc w:val="both"/>
        <w:rPr>
          <w:rFonts w:ascii="Arial" w:hAnsi="Arial" w:cs="Arial"/>
          <w:sz w:val="22"/>
          <w:szCs w:val="22"/>
        </w:rPr>
      </w:pPr>
    </w:p>
    <w:p w14:paraId="2F8CA474" w14:textId="4B11C519" w:rsidR="00E14C49" w:rsidRDefault="00E14C49" w:rsidP="006677E2">
      <w:pPr>
        <w:spacing w:line="360" w:lineRule="auto"/>
        <w:jc w:val="both"/>
        <w:rPr>
          <w:rFonts w:ascii="Arial" w:hAnsi="Arial" w:cs="Arial"/>
          <w:sz w:val="22"/>
          <w:szCs w:val="22"/>
        </w:rPr>
      </w:pPr>
      <w:r w:rsidRPr="00E14C49">
        <w:rPr>
          <w:rFonts w:ascii="Arial" w:hAnsi="Arial" w:cs="Arial"/>
          <w:sz w:val="22"/>
          <w:szCs w:val="22"/>
        </w:rPr>
        <w:t>Grundsätzlich ist der Arbeitgeber im Einstellungsverfahren berechtigt, bei dem Bewerber Informationen zu Vorstrafen einzuholen, wenn und soweit diese für die Art des zu besetzenden Arbeitsplatzes relevant seien können. Bei einer Bewerbung um ein öffentliches Amt darf sich der Arbeitgeber nach anhängigen Straf- und Ermittlungsverfahren erkundigen, wenn ein solches Verfahren Zweifel an der persönlichen Eignung des Bewerbers für die in Aussicht genommene Tätigkeit begründen kann. Ist hingegen die Frage nach gerichtlichen Verurteilungen und schwebenden Verfahren bei einer Abwägung mit dem allgemeinen Persönlichkeitsrecht des Bewerbers zu weitgehend, ist diese Frage unzulässig und enthebt den Bewerber von der Verpflichtung zur wahrheitsgemäßen Beantwortung.</w:t>
      </w:r>
    </w:p>
    <w:p w14:paraId="03C32009" w14:textId="77777777" w:rsidR="00E14C49" w:rsidRPr="00E14C49" w:rsidRDefault="00E14C49" w:rsidP="006677E2">
      <w:pPr>
        <w:spacing w:line="360" w:lineRule="auto"/>
        <w:jc w:val="both"/>
        <w:rPr>
          <w:rFonts w:ascii="Arial" w:hAnsi="Arial" w:cs="Arial"/>
          <w:sz w:val="22"/>
          <w:szCs w:val="22"/>
        </w:rPr>
      </w:pPr>
    </w:p>
    <w:p w14:paraId="418DCCD5" w14:textId="6FB0A57A" w:rsidR="00E14C49" w:rsidRDefault="00E14C49" w:rsidP="006677E2">
      <w:pPr>
        <w:spacing w:line="360" w:lineRule="auto"/>
        <w:jc w:val="both"/>
        <w:rPr>
          <w:rFonts w:ascii="Arial" w:hAnsi="Arial" w:cs="Arial"/>
          <w:sz w:val="22"/>
          <w:szCs w:val="22"/>
        </w:rPr>
      </w:pPr>
      <w:r w:rsidRPr="00E14C49">
        <w:rPr>
          <w:rFonts w:ascii="Arial" w:hAnsi="Arial" w:cs="Arial"/>
          <w:sz w:val="22"/>
          <w:szCs w:val="22"/>
        </w:rPr>
        <w:t xml:space="preserve">Die von der Beklagten im Rahmen des Personalblattes gestellte </w:t>
      </w:r>
      <w:proofErr w:type="spellStart"/>
      <w:r w:rsidRPr="00E14C49">
        <w:rPr>
          <w:rFonts w:ascii="Arial" w:hAnsi="Arial" w:cs="Arial"/>
          <w:sz w:val="22"/>
          <w:szCs w:val="22"/>
        </w:rPr>
        <w:t>unspezifizierte</w:t>
      </w:r>
      <w:proofErr w:type="spellEnd"/>
      <w:r w:rsidRPr="00E14C49">
        <w:rPr>
          <w:rFonts w:ascii="Arial" w:hAnsi="Arial" w:cs="Arial"/>
          <w:sz w:val="22"/>
          <w:szCs w:val="22"/>
        </w:rPr>
        <w:t xml:space="preserve"> Frage nach Ermittlungsverfahren jedweder Art ist bei einer Bewerbung um eine Ausbildungsstelle als Fachkraft für Lagerlogistik zu weitgehend und damit unzulässig. Es vermag nicht jede denkbare Straftat Zweifel an der Eignung des Klägers für die Ausbildung zur Fachkraft für Lagerlogistik zu begründen. Dies gilt auch dann, wenn die Ausbildung durch einen öffentlichen Arbeitgeber erfolgen soll. Damit aber war die Beklagte nicht berechtigt, den Ausbildungsvertrag des Klägers wegen arglistiger Täuschung anzufechten.</w:t>
      </w:r>
    </w:p>
    <w:p w14:paraId="66C9199A" w14:textId="77777777" w:rsidR="00E14C49" w:rsidRPr="00E14C49" w:rsidRDefault="00E14C49" w:rsidP="006677E2">
      <w:pPr>
        <w:spacing w:line="360" w:lineRule="auto"/>
        <w:jc w:val="both"/>
        <w:rPr>
          <w:rFonts w:ascii="Arial" w:hAnsi="Arial" w:cs="Arial"/>
          <w:sz w:val="22"/>
          <w:szCs w:val="22"/>
        </w:rPr>
      </w:pPr>
    </w:p>
    <w:p w14:paraId="73E3136E" w14:textId="5621504C" w:rsidR="006144A3" w:rsidRDefault="00E14C49" w:rsidP="006677E2">
      <w:pPr>
        <w:spacing w:line="360" w:lineRule="auto"/>
        <w:jc w:val="both"/>
        <w:rPr>
          <w:rFonts w:ascii="Arial" w:hAnsi="Arial" w:cs="Arial"/>
          <w:b/>
          <w:sz w:val="22"/>
          <w:szCs w:val="22"/>
        </w:rPr>
      </w:pPr>
      <w:r w:rsidRPr="00E14C49">
        <w:rPr>
          <w:rFonts w:ascii="Arial" w:hAnsi="Arial" w:cs="Arial"/>
          <w:sz w:val="22"/>
          <w:szCs w:val="22"/>
        </w:rPr>
        <w:t>Die Entscheidung ist noch nicht rechtskräftig. Gegen das Urteil kann Berufung beim Landesarbeitsgericht Köln eingelegt werden.</w:t>
      </w:r>
      <w:r w:rsidR="005E62C9">
        <w:rPr>
          <w:rFonts w:ascii="Arial" w:hAnsi="Arial" w:cs="Arial"/>
          <w:sz w:val="22"/>
          <w:szCs w:val="22"/>
        </w:rPr>
        <w:t xml:space="preserve"> </w:t>
      </w:r>
      <w:r w:rsidR="006144A3" w:rsidRPr="00B14F16">
        <w:rPr>
          <w:rFonts w:ascii="Arial" w:hAnsi="Arial" w:cs="Arial"/>
          <w:sz w:val="22"/>
          <w:szCs w:val="22"/>
        </w:rPr>
        <w:t xml:space="preserve">Henn empfahl, die Entscheidung zu beachten und in Zweifelsfällen rechtlichen Rat einzuholen, wobei er u. a. dazu auch auf den VDAA Verband deutscher </w:t>
      </w:r>
      <w:proofErr w:type="spellStart"/>
      <w:r w:rsidR="006144A3" w:rsidRPr="00B14F16">
        <w:rPr>
          <w:rFonts w:ascii="Arial" w:hAnsi="Arial" w:cs="Arial"/>
          <w:sz w:val="22"/>
          <w:szCs w:val="22"/>
        </w:rPr>
        <w:t>ArbeitsrechtsAnwälte</w:t>
      </w:r>
      <w:proofErr w:type="spellEnd"/>
      <w:r w:rsidR="006144A3" w:rsidRPr="00B14F16">
        <w:rPr>
          <w:rFonts w:ascii="Arial" w:hAnsi="Arial" w:cs="Arial"/>
          <w:sz w:val="22"/>
          <w:szCs w:val="22"/>
        </w:rPr>
        <w:t xml:space="preserve"> e. V. – www.vdaa.de – verwies</w:t>
      </w:r>
      <w:r w:rsidR="006144A3" w:rsidRPr="00B14F16">
        <w:rPr>
          <w:rFonts w:ascii="Arial" w:hAnsi="Arial" w:cs="Arial"/>
          <w:b/>
          <w:sz w:val="22"/>
          <w:szCs w:val="22"/>
        </w:rPr>
        <w:t>.</w:t>
      </w:r>
    </w:p>
    <w:p w14:paraId="457F3353" w14:textId="77777777" w:rsidR="006677E2" w:rsidRPr="006677E2" w:rsidRDefault="006677E2" w:rsidP="006677E2">
      <w:pPr>
        <w:spacing w:line="360" w:lineRule="auto"/>
        <w:jc w:val="both"/>
        <w:rPr>
          <w:rFonts w:ascii="Arial" w:hAnsi="Arial" w:cs="Arial"/>
          <w:sz w:val="22"/>
          <w:szCs w:val="22"/>
        </w:rPr>
      </w:pPr>
    </w:p>
    <w:p w14:paraId="098FECB7" w14:textId="77777777" w:rsidR="006677E2" w:rsidRPr="00F743BD" w:rsidRDefault="006677E2" w:rsidP="006677E2">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14:paraId="7178E445" w14:textId="77777777" w:rsidR="006677E2" w:rsidRPr="00F743BD" w:rsidRDefault="006677E2" w:rsidP="006677E2">
      <w:pPr>
        <w:spacing w:line="220" w:lineRule="atLeast"/>
        <w:ind w:firstLine="708"/>
        <w:rPr>
          <w:rFonts w:ascii="Arial" w:hAnsi="Arial" w:cs="Arial"/>
          <w:sz w:val="20"/>
          <w:lang w:eastAsia="de-DE"/>
        </w:rPr>
      </w:pPr>
    </w:p>
    <w:p w14:paraId="45DA2952" w14:textId="77777777" w:rsidR="006677E2" w:rsidRPr="00F743BD" w:rsidRDefault="006677E2" w:rsidP="006677E2">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14:paraId="5D700B2D" w14:textId="77777777" w:rsidR="006677E2" w:rsidRPr="00F743BD" w:rsidRDefault="006677E2" w:rsidP="006677E2">
      <w:pPr>
        <w:spacing w:line="220" w:lineRule="atLeast"/>
        <w:rPr>
          <w:rFonts w:ascii="Arial" w:eastAsia="MS Mincho" w:hAnsi="Arial" w:cs="Arial"/>
          <w:sz w:val="20"/>
          <w:lang w:eastAsia="de-DE"/>
        </w:rPr>
      </w:pPr>
    </w:p>
    <w:p w14:paraId="2E6995C4" w14:textId="77777777" w:rsidR="006677E2" w:rsidRPr="00F743BD" w:rsidRDefault="006677E2" w:rsidP="006677E2">
      <w:pPr>
        <w:spacing w:line="220" w:lineRule="atLeast"/>
        <w:rPr>
          <w:rFonts w:ascii="Arial" w:eastAsia="MS Mincho" w:hAnsi="Arial" w:cs="Arial"/>
          <w:sz w:val="20"/>
          <w:lang w:eastAsia="de-DE"/>
        </w:rPr>
      </w:pPr>
    </w:p>
    <w:p w14:paraId="23A34092" w14:textId="77777777" w:rsidR="006677E2" w:rsidRPr="00F743BD" w:rsidRDefault="006677E2" w:rsidP="006677E2">
      <w:pPr>
        <w:rPr>
          <w:rFonts w:ascii="Arial" w:hAnsi="Arial" w:cs="Arial"/>
          <w:sz w:val="20"/>
          <w:szCs w:val="20"/>
          <w:lang w:eastAsia="de-DE"/>
        </w:rPr>
      </w:pPr>
      <w:r w:rsidRPr="00F743BD">
        <w:rPr>
          <w:rFonts w:ascii="Arial" w:hAnsi="Arial" w:cs="Arial"/>
          <w:sz w:val="20"/>
          <w:szCs w:val="20"/>
          <w:lang w:eastAsia="de-DE"/>
        </w:rPr>
        <w:t>Michael Henn</w:t>
      </w:r>
    </w:p>
    <w:p w14:paraId="48F0D5A3" w14:textId="77777777" w:rsidR="006677E2" w:rsidRPr="00F743BD" w:rsidRDefault="006677E2" w:rsidP="006677E2">
      <w:pPr>
        <w:rPr>
          <w:rFonts w:ascii="Arial" w:hAnsi="Arial" w:cs="Arial"/>
          <w:sz w:val="20"/>
          <w:szCs w:val="20"/>
          <w:lang w:eastAsia="de-DE"/>
        </w:rPr>
      </w:pPr>
      <w:r w:rsidRPr="00F743BD">
        <w:rPr>
          <w:rFonts w:ascii="Arial" w:hAnsi="Arial" w:cs="Arial"/>
          <w:sz w:val="20"/>
          <w:szCs w:val="20"/>
          <w:lang w:eastAsia="de-DE"/>
        </w:rPr>
        <w:t>Rechtsanwalt/</w:t>
      </w:r>
    </w:p>
    <w:p w14:paraId="5A40BBAF" w14:textId="77777777" w:rsidR="006677E2" w:rsidRPr="00F743BD" w:rsidRDefault="006677E2" w:rsidP="006677E2">
      <w:pPr>
        <w:rPr>
          <w:rFonts w:ascii="Arial" w:hAnsi="Arial" w:cs="Arial"/>
          <w:sz w:val="20"/>
          <w:szCs w:val="20"/>
          <w:lang w:eastAsia="de-DE"/>
        </w:rPr>
      </w:pPr>
      <w:r w:rsidRPr="00F743BD">
        <w:rPr>
          <w:rFonts w:ascii="Arial" w:hAnsi="Arial" w:cs="Arial"/>
          <w:sz w:val="20"/>
          <w:szCs w:val="20"/>
          <w:lang w:eastAsia="de-DE"/>
        </w:rPr>
        <w:t>Fachanwalt für Arbeitsrecht/</w:t>
      </w:r>
    </w:p>
    <w:p w14:paraId="006D10E1" w14:textId="77777777" w:rsidR="006677E2" w:rsidRPr="00F743BD" w:rsidRDefault="006677E2" w:rsidP="006677E2">
      <w:pPr>
        <w:rPr>
          <w:rFonts w:ascii="Arial" w:hAnsi="Arial" w:cs="Arial"/>
          <w:sz w:val="20"/>
          <w:szCs w:val="20"/>
          <w:lang w:eastAsia="de-DE"/>
        </w:rPr>
      </w:pPr>
      <w:r w:rsidRPr="00F743BD">
        <w:rPr>
          <w:rFonts w:ascii="Arial" w:hAnsi="Arial" w:cs="Arial"/>
          <w:sz w:val="20"/>
          <w:szCs w:val="20"/>
          <w:lang w:eastAsia="de-DE"/>
        </w:rPr>
        <w:t>Fachanwalt für Erbrecht</w:t>
      </w:r>
    </w:p>
    <w:p w14:paraId="732D3538" w14:textId="77777777" w:rsidR="006677E2" w:rsidRPr="00F743BD" w:rsidRDefault="006677E2" w:rsidP="006677E2">
      <w:pPr>
        <w:rPr>
          <w:rFonts w:ascii="Arial" w:hAnsi="Arial" w:cs="Arial"/>
          <w:sz w:val="20"/>
          <w:szCs w:val="20"/>
          <w:lang w:eastAsia="de-DE"/>
        </w:rPr>
      </w:pPr>
      <w:r w:rsidRPr="00F743BD">
        <w:rPr>
          <w:rFonts w:ascii="Arial" w:hAnsi="Arial" w:cs="Arial"/>
          <w:sz w:val="20"/>
          <w:szCs w:val="20"/>
          <w:lang w:eastAsia="de-DE"/>
        </w:rPr>
        <w:t xml:space="preserve">VDAA - Präsident </w:t>
      </w:r>
    </w:p>
    <w:p w14:paraId="285F8900" w14:textId="77777777" w:rsidR="006677E2" w:rsidRPr="00F743BD" w:rsidRDefault="006677E2" w:rsidP="006677E2">
      <w:pPr>
        <w:rPr>
          <w:rFonts w:ascii="Arial" w:hAnsi="Arial" w:cs="Arial"/>
          <w:sz w:val="20"/>
          <w:szCs w:val="20"/>
          <w:lang w:eastAsia="de-DE"/>
        </w:rPr>
      </w:pPr>
      <w:r>
        <w:rPr>
          <w:rFonts w:ascii="Arial" w:hAnsi="Arial" w:cs="Arial"/>
          <w:sz w:val="20"/>
          <w:szCs w:val="20"/>
          <w:lang w:eastAsia="de-DE"/>
        </w:rPr>
        <w:t xml:space="preserve">c/o Rechtsanwälte Dr. </w:t>
      </w:r>
      <w:proofErr w:type="spellStart"/>
      <w:r>
        <w:rPr>
          <w:rFonts w:ascii="Arial" w:hAnsi="Arial" w:cs="Arial"/>
          <w:sz w:val="20"/>
          <w:szCs w:val="20"/>
          <w:lang w:eastAsia="de-DE"/>
        </w:rPr>
        <w:t>Gaupp</w:t>
      </w:r>
      <w:proofErr w:type="spellEnd"/>
      <w:r>
        <w:rPr>
          <w:rFonts w:ascii="Arial" w:hAnsi="Arial" w:cs="Arial"/>
          <w:sz w:val="20"/>
          <w:szCs w:val="20"/>
          <w:lang w:eastAsia="de-DE"/>
        </w:rPr>
        <w:t xml:space="preserve"> &amp; </w:t>
      </w:r>
      <w:proofErr w:type="spellStart"/>
      <w:r>
        <w:rPr>
          <w:rFonts w:ascii="Arial" w:hAnsi="Arial" w:cs="Arial"/>
          <w:sz w:val="20"/>
          <w:szCs w:val="20"/>
          <w:lang w:eastAsia="de-DE"/>
        </w:rPr>
        <w:t>Coll</w:t>
      </w:r>
      <w:proofErr w:type="spellEnd"/>
      <w:r>
        <w:rPr>
          <w:rFonts w:ascii="Arial" w:hAnsi="Arial" w:cs="Arial"/>
          <w:sz w:val="20"/>
          <w:szCs w:val="20"/>
          <w:lang w:eastAsia="de-DE"/>
        </w:rPr>
        <w:t>.</w:t>
      </w:r>
    </w:p>
    <w:p w14:paraId="74179A57" w14:textId="77777777" w:rsidR="006677E2" w:rsidRPr="00F743BD" w:rsidRDefault="006677E2" w:rsidP="006677E2">
      <w:pPr>
        <w:rPr>
          <w:rFonts w:ascii="Arial" w:hAnsi="Arial" w:cs="Arial"/>
          <w:sz w:val="20"/>
          <w:szCs w:val="20"/>
          <w:lang w:eastAsia="de-DE"/>
        </w:rPr>
      </w:pPr>
      <w:r>
        <w:rPr>
          <w:rFonts w:ascii="Arial" w:hAnsi="Arial" w:cs="Arial"/>
          <w:sz w:val="20"/>
          <w:szCs w:val="20"/>
          <w:lang w:eastAsia="de-DE"/>
        </w:rPr>
        <w:t>Kronprinzstraße 14</w:t>
      </w:r>
    </w:p>
    <w:p w14:paraId="4888F789" w14:textId="77777777" w:rsidR="006677E2" w:rsidRPr="00F743BD" w:rsidRDefault="006677E2" w:rsidP="006677E2">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14:paraId="498D2D64" w14:textId="77777777" w:rsidR="006677E2" w:rsidRPr="00F743BD" w:rsidRDefault="006677E2" w:rsidP="006677E2">
      <w:pPr>
        <w:rPr>
          <w:rFonts w:ascii="Arial" w:hAnsi="Arial" w:cs="Arial"/>
          <w:sz w:val="20"/>
          <w:szCs w:val="20"/>
          <w:lang w:eastAsia="de-DE"/>
        </w:rPr>
      </w:pPr>
    </w:p>
    <w:p w14:paraId="48134160" w14:textId="77777777" w:rsidR="006677E2" w:rsidRPr="00137886" w:rsidRDefault="006677E2" w:rsidP="006677E2">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14:paraId="25BFD6DE" w14:textId="77777777" w:rsidR="006677E2" w:rsidRPr="00137886" w:rsidRDefault="006677E2" w:rsidP="006677E2">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bookmarkEnd w:id="0"/>
    <w:sectPr w:rsidR="006677E2" w:rsidRPr="00137886">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0007F1" w14:textId="77777777" w:rsidR="00D80DDD" w:rsidRDefault="00D80DDD" w:rsidP="000D1A95">
      <w:r>
        <w:separator/>
      </w:r>
    </w:p>
  </w:endnote>
  <w:endnote w:type="continuationSeparator" w:id="0">
    <w:p w14:paraId="07BCD11D" w14:textId="77777777" w:rsidR="00D80DDD" w:rsidRDefault="00D80DDD"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C27A56" w14:textId="77777777" w:rsidR="00D80DDD" w:rsidRDefault="00D80DDD" w:rsidP="000D1A95">
      <w:r>
        <w:separator/>
      </w:r>
    </w:p>
  </w:footnote>
  <w:footnote w:type="continuationSeparator" w:id="0">
    <w:p w14:paraId="32D64C60" w14:textId="77777777" w:rsidR="00D80DDD" w:rsidRDefault="00D80DDD"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E321C5" w14:textId="77777777" w:rsidR="00742D15" w:rsidRPr="0022435B" w:rsidRDefault="00742D15" w:rsidP="00742D15">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6</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06AB3"/>
    <w:rsid w:val="00206B26"/>
    <w:rsid w:val="002138B8"/>
    <w:rsid w:val="00213FEE"/>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67BA"/>
    <w:rsid w:val="00267008"/>
    <w:rsid w:val="002719FC"/>
    <w:rsid w:val="00273588"/>
    <w:rsid w:val="0027538D"/>
    <w:rsid w:val="00276AEF"/>
    <w:rsid w:val="002776EC"/>
    <w:rsid w:val="00277A00"/>
    <w:rsid w:val="0028213B"/>
    <w:rsid w:val="0028317B"/>
    <w:rsid w:val="00284BC9"/>
    <w:rsid w:val="00286B2B"/>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DCE"/>
    <w:rsid w:val="00312024"/>
    <w:rsid w:val="00312EED"/>
    <w:rsid w:val="00314264"/>
    <w:rsid w:val="003153FE"/>
    <w:rsid w:val="003158AA"/>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5667"/>
    <w:rsid w:val="00405E8B"/>
    <w:rsid w:val="00406920"/>
    <w:rsid w:val="00410710"/>
    <w:rsid w:val="00421685"/>
    <w:rsid w:val="0042345E"/>
    <w:rsid w:val="00424355"/>
    <w:rsid w:val="00425D8D"/>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A9A"/>
    <w:rsid w:val="004867DD"/>
    <w:rsid w:val="004A0999"/>
    <w:rsid w:val="004A7CB5"/>
    <w:rsid w:val="004B02E7"/>
    <w:rsid w:val="004B0569"/>
    <w:rsid w:val="004B15E1"/>
    <w:rsid w:val="004C19BB"/>
    <w:rsid w:val="004C6153"/>
    <w:rsid w:val="004D0D94"/>
    <w:rsid w:val="004D2CAD"/>
    <w:rsid w:val="004D3E0D"/>
    <w:rsid w:val="004D4A28"/>
    <w:rsid w:val="004E1DA7"/>
    <w:rsid w:val="004E38DD"/>
    <w:rsid w:val="004E4539"/>
    <w:rsid w:val="004E5F27"/>
    <w:rsid w:val="004F5E83"/>
    <w:rsid w:val="004F7D95"/>
    <w:rsid w:val="005031B9"/>
    <w:rsid w:val="00503A65"/>
    <w:rsid w:val="00506894"/>
    <w:rsid w:val="005116B3"/>
    <w:rsid w:val="0051298C"/>
    <w:rsid w:val="005130BD"/>
    <w:rsid w:val="00515110"/>
    <w:rsid w:val="00515256"/>
    <w:rsid w:val="00516E1E"/>
    <w:rsid w:val="00516F91"/>
    <w:rsid w:val="00522144"/>
    <w:rsid w:val="005249ED"/>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048"/>
    <w:rsid w:val="00547A7D"/>
    <w:rsid w:val="005543B9"/>
    <w:rsid w:val="00555419"/>
    <w:rsid w:val="00562412"/>
    <w:rsid w:val="0056304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2C9"/>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3600"/>
    <w:rsid w:val="00665A19"/>
    <w:rsid w:val="0066655D"/>
    <w:rsid w:val="006677E2"/>
    <w:rsid w:val="00670ACE"/>
    <w:rsid w:val="006745AF"/>
    <w:rsid w:val="00675FD1"/>
    <w:rsid w:val="00677FEF"/>
    <w:rsid w:val="006842DB"/>
    <w:rsid w:val="00685A19"/>
    <w:rsid w:val="00691F68"/>
    <w:rsid w:val="00695511"/>
    <w:rsid w:val="006A1523"/>
    <w:rsid w:val="006A296D"/>
    <w:rsid w:val="006A3371"/>
    <w:rsid w:val="006A3D64"/>
    <w:rsid w:val="006A4E52"/>
    <w:rsid w:val="006A59AB"/>
    <w:rsid w:val="006A673C"/>
    <w:rsid w:val="006A71C8"/>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40D9"/>
    <w:rsid w:val="00725AFA"/>
    <w:rsid w:val="00726A45"/>
    <w:rsid w:val="00730DD2"/>
    <w:rsid w:val="0073296A"/>
    <w:rsid w:val="00732A36"/>
    <w:rsid w:val="0074283D"/>
    <w:rsid w:val="00742D15"/>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0D06"/>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7CE2"/>
    <w:rsid w:val="009C04F1"/>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450B"/>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21773"/>
    <w:rsid w:val="00B244FA"/>
    <w:rsid w:val="00B24B7B"/>
    <w:rsid w:val="00B2535D"/>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33C7"/>
    <w:rsid w:val="00B738DA"/>
    <w:rsid w:val="00B748D8"/>
    <w:rsid w:val="00B761F6"/>
    <w:rsid w:val="00B76D46"/>
    <w:rsid w:val="00B8388D"/>
    <w:rsid w:val="00B85CE2"/>
    <w:rsid w:val="00B91319"/>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0DDD"/>
    <w:rsid w:val="00D81170"/>
    <w:rsid w:val="00D82E89"/>
    <w:rsid w:val="00D835BB"/>
    <w:rsid w:val="00D8387B"/>
    <w:rsid w:val="00D85653"/>
    <w:rsid w:val="00D86034"/>
    <w:rsid w:val="00D918F9"/>
    <w:rsid w:val="00D921E2"/>
    <w:rsid w:val="00D9349C"/>
    <w:rsid w:val="00D94260"/>
    <w:rsid w:val="00D9686F"/>
    <w:rsid w:val="00D969D6"/>
    <w:rsid w:val="00D9700A"/>
    <w:rsid w:val="00D978D6"/>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4C49"/>
    <w:rsid w:val="00E174FF"/>
    <w:rsid w:val="00E20096"/>
    <w:rsid w:val="00E20794"/>
    <w:rsid w:val="00E24FAF"/>
    <w:rsid w:val="00E26D0D"/>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5BFA"/>
    <w:rsid w:val="00E7749A"/>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
    <w:name w:val="Unresolved Mention"/>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085685187">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795950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9322F-FFCD-44DF-AF6C-F176BB07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3724</Characters>
  <Application>Microsoft Office Word</Application>
  <DocSecurity>0</DocSecurity>
  <Lines>266</Lines>
  <Paragraphs>203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5</cp:revision>
  <cp:lastPrinted>2008-03-03T10:31:00Z</cp:lastPrinted>
  <dcterms:created xsi:type="dcterms:W3CDTF">2020-06-17T06:33:00Z</dcterms:created>
  <dcterms:modified xsi:type="dcterms:W3CDTF">2020-06-29T15:36:00Z</dcterms:modified>
</cp:coreProperties>
</file>