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6F" w:rsidRPr="00CC6A78" w:rsidRDefault="00DA006F" w:rsidP="00DA006F">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DA006F" w:rsidRPr="00CC6A78" w:rsidRDefault="00DA006F" w:rsidP="00DA006F">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DA006F" w:rsidRDefault="00DA006F" w:rsidP="00DA006F">
      <w:pPr>
        <w:spacing w:line="360" w:lineRule="auto"/>
        <w:jc w:val="both"/>
        <w:rPr>
          <w:rFonts w:ascii="Arial" w:hAnsi="Arial" w:cs="Arial"/>
          <w:b/>
          <w:bCs/>
        </w:rPr>
      </w:pPr>
    </w:p>
    <w:p w:rsidR="00E70C5A" w:rsidRDefault="00E70C5A" w:rsidP="00DA006F">
      <w:pPr>
        <w:spacing w:line="360" w:lineRule="auto"/>
        <w:jc w:val="both"/>
        <w:rPr>
          <w:rFonts w:ascii="Arial" w:hAnsi="Arial" w:cs="Arial"/>
          <w:b/>
          <w:bCs/>
        </w:rPr>
      </w:pPr>
      <w:r>
        <w:rPr>
          <w:rFonts w:ascii="Arial" w:hAnsi="Arial" w:cs="Arial"/>
          <w:b/>
          <w:bCs/>
        </w:rPr>
        <w:t>Betriebliche Altersversorgung - Ablösung einer Versorgungszusage</w:t>
      </w:r>
    </w:p>
    <w:p w:rsidR="00E70C5A" w:rsidRPr="00DA006F" w:rsidRDefault="00E70C5A" w:rsidP="00DA006F">
      <w:pPr>
        <w:spacing w:line="360" w:lineRule="auto"/>
        <w:jc w:val="both"/>
        <w:rPr>
          <w:rFonts w:ascii="Arial" w:hAnsi="Arial" w:cs="Arial"/>
          <w:bCs/>
        </w:rPr>
      </w:pPr>
    </w:p>
    <w:p w:rsidR="00DA006F" w:rsidRPr="00DA006F" w:rsidRDefault="00DA006F" w:rsidP="00DA006F">
      <w:pPr>
        <w:spacing w:line="360" w:lineRule="auto"/>
        <w:jc w:val="both"/>
        <w:rPr>
          <w:rFonts w:ascii="Arial" w:hAnsi="Arial" w:cs="Arial"/>
          <w:bCs/>
        </w:rPr>
      </w:pPr>
      <w:r w:rsidRPr="00DA006F">
        <w:rPr>
          <w:rFonts w:ascii="Arial" w:hAnsi="Arial" w:cs="Arial"/>
          <w:bCs/>
        </w:rPr>
        <w:t>ein Artikel von Rechtsanwalt und Fachanwalt für Arbeitsrecht Michael Henn, Stuttgart</w:t>
      </w:r>
    </w:p>
    <w:p w:rsidR="00DA006F" w:rsidRPr="00DA006F" w:rsidRDefault="00DA006F" w:rsidP="00DA006F">
      <w:pPr>
        <w:spacing w:line="360" w:lineRule="auto"/>
        <w:jc w:val="both"/>
        <w:rPr>
          <w:rFonts w:ascii="Arial" w:hAnsi="Arial" w:cs="Arial"/>
          <w:bCs/>
        </w:rPr>
      </w:pPr>
    </w:p>
    <w:p w:rsidR="00E70C5A" w:rsidRDefault="00E70C5A" w:rsidP="00DA006F">
      <w:pPr>
        <w:spacing w:line="360" w:lineRule="auto"/>
        <w:jc w:val="both"/>
        <w:rPr>
          <w:rFonts w:ascii="Arial" w:hAnsi="Arial" w:cs="Arial"/>
          <w:b/>
          <w:bCs/>
        </w:rPr>
      </w:pPr>
      <w:r>
        <w:rPr>
          <w:rFonts w:ascii="Arial" w:hAnsi="Arial" w:cs="Arial"/>
          <w:b/>
          <w:bCs/>
        </w:rPr>
        <w:t>Dem Anspruch eines Versorgungsempfängers auf richtige Berechnung seiner Ausgangsrente auf der Grundlage einer Betriebsvereinbarung - und damit die Überprüfung der Wirksamkeit einer Ablösung einer früheren, günstigeren Versorgungsordnung - kann der Einwand der Verwirkung aus § 242 BGB nicht entgegengehalten werden.</w:t>
      </w:r>
    </w:p>
    <w:p w:rsidR="00E70C5A" w:rsidRDefault="00E70C5A" w:rsidP="00DA006F">
      <w:pPr>
        <w:spacing w:line="360" w:lineRule="auto"/>
        <w:jc w:val="both"/>
        <w:rPr>
          <w:rFonts w:ascii="Arial" w:hAnsi="Arial" w:cs="Arial"/>
        </w:rPr>
      </w:pPr>
    </w:p>
    <w:p w:rsidR="00E70C5A" w:rsidRDefault="00E70C5A" w:rsidP="00DA006F">
      <w:pPr>
        <w:spacing w:line="360" w:lineRule="auto"/>
        <w:jc w:val="both"/>
        <w:rPr>
          <w:rFonts w:ascii="Arial" w:hAnsi="Arial" w:cs="Arial"/>
        </w:rPr>
      </w:pPr>
      <w:r>
        <w:rPr>
          <w:rFonts w:ascii="Arial" w:hAnsi="Arial" w:cs="Arial"/>
        </w:rPr>
        <w:t xml:space="preserve">Darauf verweist der Stuttgarter Fachanwalt für Arbeitsrecht Michael Henn, Präsident des VDAA - Verband deutscher </w:t>
      </w:r>
      <w:proofErr w:type="spellStart"/>
      <w:r>
        <w:rPr>
          <w:rFonts w:ascii="Arial" w:hAnsi="Arial" w:cs="Arial"/>
        </w:rPr>
        <w:t>ArbeitsrechtsAnwälte</w:t>
      </w:r>
      <w:proofErr w:type="spellEnd"/>
      <w:r>
        <w:rPr>
          <w:rFonts w:ascii="Arial" w:hAnsi="Arial" w:cs="Arial"/>
        </w:rPr>
        <w:t xml:space="preserve"> e. V. mit Sitz in Stuttgart unter Hinweis auf die Mitteilung des Bundesarbeitsgerichts zu seinem Urteil vom 13. Oktober 2020 - 3 AZR 246/20 -.</w:t>
      </w:r>
    </w:p>
    <w:p w:rsidR="00E70C5A" w:rsidRDefault="00E70C5A" w:rsidP="00DA006F">
      <w:pPr>
        <w:spacing w:line="360" w:lineRule="auto"/>
        <w:jc w:val="both"/>
        <w:rPr>
          <w:rFonts w:ascii="Arial" w:hAnsi="Arial" w:cs="Arial"/>
        </w:rPr>
      </w:pPr>
    </w:p>
    <w:p w:rsidR="00E70C5A" w:rsidRDefault="00E70C5A" w:rsidP="00DA006F">
      <w:pPr>
        <w:spacing w:line="360" w:lineRule="auto"/>
        <w:jc w:val="both"/>
        <w:rPr>
          <w:rFonts w:ascii="Arial" w:hAnsi="Arial" w:cs="Arial"/>
        </w:rPr>
      </w:pPr>
      <w:r>
        <w:rPr>
          <w:rFonts w:ascii="Arial" w:hAnsi="Arial" w:cs="Arial"/>
        </w:rPr>
        <w:t xml:space="preserve">Der Kläger war seit 1955 bei der Beklagten beschäftigt. Die betriebliche Altersversorgung bei der Beklagten war seit dem Jahr 1979 durch eine Betriebsvereinbarung (BV 1979) geregelt. Die BV 1979 wurde zum 1. Januar 1988 durch eine weitere Betriebsvereinbarung (BV 1988) geändert. Dabei wurde jedes Dienstjahr der ununterbrochenen Betriebszugehörigkeit nach Inkrafttreten der BV 1988 mit 0,2 % des Arbeitseinkommens bewertet, statt wie zuvor nach der BV 1979 mit 0,4 %. Der Kläger schied mit Ablauf des 31. Dezember 2003 aus dem Arbeitsverhältnis aus und bezieht seit dem 1. Januar 2004 </w:t>
      </w:r>
      <w:proofErr w:type="spellStart"/>
      <w:r>
        <w:rPr>
          <w:rFonts w:ascii="Arial" w:hAnsi="Arial" w:cs="Arial"/>
        </w:rPr>
        <w:t>ua</w:t>
      </w:r>
      <w:proofErr w:type="spellEnd"/>
      <w:r>
        <w:rPr>
          <w:rFonts w:ascii="Arial" w:hAnsi="Arial" w:cs="Arial"/>
        </w:rPr>
        <w:t>. eine Betriebsrente von der Beklagten.</w:t>
      </w:r>
    </w:p>
    <w:p w:rsidR="00E70C5A" w:rsidRDefault="00E70C5A" w:rsidP="00DA006F">
      <w:pPr>
        <w:spacing w:line="360" w:lineRule="auto"/>
        <w:jc w:val="both"/>
        <w:rPr>
          <w:rFonts w:ascii="Arial" w:hAnsi="Arial" w:cs="Arial"/>
        </w:rPr>
      </w:pPr>
    </w:p>
    <w:p w:rsidR="00E70C5A" w:rsidRDefault="00E70C5A" w:rsidP="00DA006F">
      <w:pPr>
        <w:spacing w:line="360" w:lineRule="auto"/>
        <w:jc w:val="both"/>
        <w:rPr>
          <w:rFonts w:ascii="Arial" w:hAnsi="Arial" w:cs="Arial"/>
        </w:rPr>
      </w:pPr>
      <w:r>
        <w:rPr>
          <w:rFonts w:ascii="Arial" w:hAnsi="Arial" w:cs="Arial"/>
        </w:rPr>
        <w:t xml:space="preserve">Der Kläger verlangt die Zahlung einer höheren Ausgangsbetriebsrente. Die Halbierung der künftigen Steigerungsbeträge durch die BV 1988 sei mangels sachlich-proportionaler Gründe unzulässig. Die Beklagte verweist demgegenüber </w:t>
      </w:r>
      <w:proofErr w:type="spellStart"/>
      <w:r>
        <w:rPr>
          <w:rFonts w:ascii="Arial" w:hAnsi="Arial" w:cs="Arial"/>
        </w:rPr>
        <w:t>ua</w:t>
      </w:r>
      <w:proofErr w:type="spellEnd"/>
      <w:r>
        <w:rPr>
          <w:rFonts w:ascii="Arial" w:hAnsi="Arial" w:cs="Arial"/>
        </w:rPr>
        <w:t xml:space="preserve">. auf ihre damalige wirtschaftliche Lage und hält dem Begehren des Klägers nach einer Neuberechnung seiner Ausgangsrente den Einwand der Verwirkung entgegen. Das Arbeitsgericht hat die Klage abgewiesen. Das Landesarbeitsgericht hat die Berufung insoweit zurückgewiesen. </w:t>
      </w:r>
    </w:p>
    <w:p w:rsidR="00DA006F" w:rsidRDefault="00DA006F" w:rsidP="00DA006F">
      <w:pPr>
        <w:spacing w:line="360" w:lineRule="auto"/>
        <w:jc w:val="both"/>
        <w:rPr>
          <w:rFonts w:ascii="Arial" w:hAnsi="Arial" w:cs="Arial"/>
        </w:rPr>
      </w:pPr>
    </w:p>
    <w:p w:rsidR="00E70C5A" w:rsidRDefault="00E70C5A" w:rsidP="00DA006F">
      <w:pPr>
        <w:spacing w:line="360" w:lineRule="auto"/>
        <w:jc w:val="both"/>
        <w:rPr>
          <w:rFonts w:ascii="Arial" w:hAnsi="Arial" w:cs="Arial"/>
        </w:rPr>
      </w:pPr>
      <w:r>
        <w:rPr>
          <w:rFonts w:ascii="Arial" w:hAnsi="Arial" w:cs="Arial"/>
        </w:rPr>
        <w:lastRenderedPageBreak/>
        <w:t xml:space="preserve">Die vom Bundesarbeitsgericht eingeschränkt auf eine um 119,12 Euro brutto höhere Ausgangsrente zugelassene Revision des Klägers hatte vor dem Dritten Senat des Bundesarbeitsgerichts Erfolg und führte zur Zurückverweisung der Sache an das Landesarbeitsgericht. </w:t>
      </w:r>
    </w:p>
    <w:p w:rsidR="00E70C5A" w:rsidRDefault="00E70C5A" w:rsidP="00DA006F">
      <w:pPr>
        <w:spacing w:line="360" w:lineRule="auto"/>
        <w:jc w:val="both"/>
        <w:rPr>
          <w:rFonts w:ascii="Arial" w:hAnsi="Arial" w:cs="Arial"/>
        </w:rPr>
      </w:pPr>
    </w:p>
    <w:p w:rsidR="00E70C5A" w:rsidRDefault="00E70C5A" w:rsidP="00DA006F">
      <w:pPr>
        <w:spacing w:line="360" w:lineRule="auto"/>
        <w:jc w:val="both"/>
        <w:rPr>
          <w:rFonts w:ascii="Arial" w:hAnsi="Arial" w:cs="Arial"/>
        </w:rPr>
      </w:pPr>
      <w:r>
        <w:rPr>
          <w:rFonts w:ascii="Arial" w:hAnsi="Arial" w:cs="Arial"/>
        </w:rPr>
        <w:t>Entgegen der Auffassung der Vorinstanzen ist der Anspruch des Klägers auf Berechnung seiner Ausgangsrente und damit die Überprüfung der Wirksamkeit der Ablösung der BV 1979 durch die BV 1988 nicht aus dem aus § 242 BGB abgeleiteten Grundsatz der Verwirkung ausgeschlossen. Der Kläger verfolgt ein Recht, dass durch eine Betriebsvereinbarung eingeräumt wurde. Dieses ist von Gesetzes wegen nach § 77 Abs. 4 Satz 3 BetrVG dem Einwand der Verwirkung entzogen. Ob die Klage begründet ist, konnte der Senat auf der Grundlage der Feststellungen des Landesarbeitsgerichts nicht entscheiden. Das Landesarbeitsgericht hatte zu den von der Beklagten vorgebrachten Gründen für die Ablösung der früheren Betriebsvereinbarung keine Feststellungen getroffen. Dies wird es im fortgesetzten Berufungsverfahren nachzuholen haben.</w:t>
      </w:r>
    </w:p>
    <w:p w:rsidR="00E70C5A" w:rsidRDefault="00E70C5A" w:rsidP="00DA006F">
      <w:pPr>
        <w:spacing w:line="360" w:lineRule="auto"/>
        <w:jc w:val="both"/>
        <w:rPr>
          <w:rFonts w:ascii="Arial" w:hAnsi="Arial" w:cs="Arial"/>
        </w:rPr>
      </w:pPr>
    </w:p>
    <w:p w:rsidR="00E70C5A" w:rsidRDefault="00E70C5A" w:rsidP="00DA006F">
      <w:pPr>
        <w:spacing w:line="360" w:lineRule="auto"/>
        <w:jc w:val="both"/>
        <w:rPr>
          <w:rFonts w:ascii="Arial" w:hAnsi="Arial" w:cs="Arial"/>
          <w:b/>
          <w:bCs/>
        </w:rPr>
      </w:pPr>
      <w:r>
        <w:rPr>
          <w:rFonts w:ascii="Arial" w:hAnsi="Arial" w:cs="Arial"/>
        </w:rPr>
        <w:t xml:space="preserve">Henn empfahl, die Entscheidung zu beachten und in Zweifelsfällen rechtlichen Rat einzuholen, wobei er u. a. dazu auch auf den VDAA Verband deutscher </w:t>
      </w:r>
      <w:proofErr w:type="spellStart"/>
      <w:r>
        <w:rPr>
          <w:rFonts w:ascii="Arial" w:hAnsi="Arial" w:cs="Arial"/>
        </w:rPr>
        <w:t>ArbeitsrechtsAnwälte</w:t>
      </w:r>
      <w:proofErr w:type="spellEnd"/>
      <w:r>
        <w:rPr>
          <w:rFonts w:ascii="Arial" w:hAnsi="Arial" w:cs="Arial"/>
        </w:rPr>
        <w:t xml:space="preserve"> e. V. – </w:t>
      </w:r>
      <w:hyperlink r:id="rId6" w:history="1">
        <w:r>
          <w:rPr>
            <w:rStyle w:val="Hyperlink"/>
            <w:rFonts w:ascii="Arial" w:hAnsi="Arial" w:cs="Arial"/>
          </w:rPr>
          <w:t>www.vdaa.de</w:t>
        </w:r>
      </w:hyperlink>
      <w:r>
        <w:rPr>
          <w:rFonts w:ascii="Arial" w:hAnsi="Arial" w:cs="Arial"/>
        </w:rPr>
        <w:t xml:space="preserve"> – verwies</w:t>
      </w:r>
      <w:r>
        <w:rPr>
          <w:rFonts w:ascii="Arial" w:hAnsi="Arial" w:cs="Arial"/>
          <w:b/>
          <w:bCs/>
        </w:rPr>
        <w:t>.</w:t>
      </w:r>
    </w:p>
    <w:p w:rsidR="00DA006F" w:rsidRDefault="00DA006F" w:rsidP="00E70C5A">
      <w:pPr>
        <w:jc w:val="both"/>
        <w:rPr>
          <w:rFonts w:ascii="Arial" w:hAnsi="Arial" w:cs="Arial"/>
          <w:b/>
          <w:bCs/>
        </w:rPr>
      </w:pPr>
    </w:p>
    <w:p w:rsidR="00DA006F" w:rsidRDefault="00DA006F" w:rsidP="00E70C5A">
      <w:pPr>
        <w:jc w:val="both"/>
        <w:rPr>
          <w:rFonts w:ascii="Arial" w:hAnsi="Arial" w:cs="Arial"/>
          <w:b/>
          <w:bCs/>
        </w:rPr>
      </w:pPr>
    </w:p>
    <w:p w:rsidR="00DA006F" w:rsidRDefault="00DA006F" w:rsidP="00E70C5A">
      <w:pPr>
        <w:jc w:val="both"/>
        <w:rPr>
          <w:rFonts w:ascii="Arial" w:hAnsi="Arial" w:cs="Arial"/>
        </w:rPr>
      </w:pPr>
    </w:p>
    <w:p w:rsidR="00DA006F" w:rsidRPr="00F743BD" w:rsidRDefault="00DA006F" w:rsidP="00DA006F">
      <w:pPr>
        <w:spacing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 xml:space="preserve">Der Autor ist </w:t>
      </w:r>
      <w:r w:rsidRPr="00F743BD">
        <w:rPr>
          <w:rFonts w:ascii="Arial" w:eastAsia="Times New Roman" w:hAnsi="Arial" w:cs="Arial"/>
          <w:sz w:val="20"/>
          <w:szCs w:val="20"/>
          <w:lang w:eastAsia="de-DE"/>
        </w:rPr>
        <w:t xml:space="preserve">Präsident </w:t>
      </w:r>
      <w:r w:rsidRPr="00F743BD">
        <w:rPr>
          <w:rFonts w:ascii="Arial" w:eastAsia="Times New Roman" w:hAnsi="Arial" w:cs="Arial"/>
          <w:sz w:val="20"/>
          <w:szCs w:val="24"/>
        </w:rPr>
        <w:t>des VDAA Verband deutscher Arbeitsrechtsanwälte e. V.</w:t>
      </w:r>
    </w:p>
    <w:p w:rsidR="00DA006F" w:rsidRPr="00F743BD" w:rsidRDefault="00DA006F" w:rsidP="00DA006F">
      <w:pPr>
        <w:spacing w:line="220" w:lineRule="atLeast"/>
        <w:ind w:firstLine="708"/>
        <w:rPr>
          <w:rFonts w:ascii="Arial" w:eastAsia="Times New Roman" w:hAnsi="Arial" w:cs="Arial"/>
          <w:sz w:val="20"/>
          <w:szCs w:val="24"/>
          <w:lang w:eastAsia="de-DE"/>
        </w:rPr>
      </w:pPr>
    </w:p>
    <w:p w:rsidR="00DA006F" w:rsidRPr="00F743BD" w:rsidRDefault="00DA006F" w:rsidP="00DA006F">
      <w:pPr>
        <w:spacing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Für Rückfragen steht Ihnen der Autor gerne zur Verfügung</w:t>
      </w:r>
    </w:p>
    <w:p w:rsidR="00DA006F" w:rsidRPr="00F743BD" w:rsidRDefault="00DA006F" w:rsidP="00DA006F">
      <w:pPr>
        <w:spacing w:line="220" w:lineRule="atLeast"/>
        <w:rPr>
          <w:rFonts w:ascii="Arial" w:eastAsia="MS Mincho" w:hAnsi="Arial" w:cs="Arial"/>
          <w:sz w:val="20"/>
          <w:szCs w:val="24"/>
          <w:lang w:eastAsia="de-DE"/>
        </w:rPr>
      </w:pPr>
    </w:p>
    <w:p w:rsidR="00DA006F" w:rsidRPr="00F743BD" w:rsidRDefault="00DA006F" w:rsidP="00DA006F">
      <w:pPr>
        <w:spacing w:line="220" w:lineRule="atLeast"/>
        <w:rPr>
          <w:rFonts w:ascii="Arial" w:eastAsia="MS Mincho" w:hAnsi="Arial" w:cs="Arial"/>
          <w:sz w:val="20"/>
          <w:szCs w:val="24"/>
          <w:lang w:eastAsia="de-DE"/>
        </w:rPr>
      </w:pPr>
    </w:p>
    <w:p w:rsidR="00DA006F" w:rsidRPr="00F743BD" w:rsidRDefault="00DA006F" w:rsidP="00DA006F">
      <w:pPr>
        <w:rPr>
          <w:rFonts w:ascii="Arial" w:eastAsia="Times New Roman" w:hAnsi="Arial" w:cs="Arial"/>
          <w:sz w:val="20"/>
          <w:szCs w:val="20"/>
          <w:lang w:eastAsia="de-DE"/>
        </w:rPr>
      </w:pPr>
      <w:r w:rsidRPr="00F743BD">
        <w:rPr>
          <w:rFonts w:ascii="Arial" w:eastAsia="Times New Roman" w:hAnsi="Arial" w:cs="Arial"/>
          <w:sz w:val="20"/>
          <w:szCs w:val="20"/>
          <w:lang w:eastAsia="de-DE"/>
        </w:rPr>
        <w:t>Michael Henn</w:t>
      </w:r>
    </w:p>
    <w:p w:rsidR="00DA006F" w:rsidRPr="00F743BD" w:rsidRDefault="00DA006F" w:rsidP="00DA006F">
      <w:pPr>
        <w:rPr>
          <w:rFonts w:ascii="Arial" w:eastAsia="Times New Roman" w:hAnsi="Arial" w:cs="Arial"/>
          <w:sz w:val="20"/>
          <w:szCs w:val="20"/>
          <w:lang w:eastAsia="de-DE"/>
        </w:rPr>
      </w:pPr>
      <w:r w:rsidRPr="00F743BD">
        <w:rPr>
          <w:rFonts w:ascii="Arial" w:eastAsia="Times New Roman" w:hAnsi="Arial" w:cs="Arial"/>
          <w:sz w:val="20"/>
          <w:szCs w:val="20"/>
          <w:lang w:eastAsia="de-DE"/>
        </w:rPr>
        <w:t>Rechtsanwalt/</w:t>
      </w:r>
    </w:p>
    <w:p w:rsidR="00DA006F" w:rsidRPr="00F743BD" w:rsidRDefault="00DA006F" w:rsidP="00DA006F">
      <w:pPr>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Arbeitsrecht/</w:t>
      </w:r>
    </w:p>
    <w:p w:rsidR="00DA006F" w:rsidRPr="00F743BD" w:rsidRDefault="00DA006F" w:rsidP="00DA006F">
      <w:pPr>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Erbrecht</w:t>
      </w:r>
    </w:p>
    <w:p w:rsidR="00DA006F" w:rsidRPr="00F743BD" w:rsidRDefault="00DA006F" w:rsidP="00DA006F">
      <w:pPr>
        <w:rPr>
          <w:rFonts w:ascii="Arial" w:eastAsia="Times New Roman" w:hAnsi="Arial" w:cs="Arial"/>
          <w:sz w:val="20"/>
          <w:szCs w:val="20"/>
          <w:lang w:eastAsia="de-DE"/>
        </w:rPr>
      </w:pPr>
      <w:r w:rsidRPr="00F743BD">
        <w:rPr>
          <w:rFonts w:ascii="Arial" w:eastAsia="Times New Roman" w:hAnsi="Arial" w:cs="Arial"/>
          <w:sz w:val="20"/>
          <w:szCs w:val="20"/>
          <w:lang w:eastAsia="de-DE"/>
        </w:rPr>
        <w:t xml:space="preserve">VDAA - Präsident </w:t>
      </w:r>
    </w:p>
    <w:p w:rsidR="00DA006F" w:rsidRPr="00F743BD" w:rsidRDefault="00DA006F" w:rsidP="00DA006F">
      <w:pPr>
        <w:rPr>
          <w:rFonts w:ascii="Arial" w:eastAsia="Times New Roman" w:hAnsi="Arial" w:cs="Arial"/>
          <w:sz w:val="20"/>
          <w:szCs w:val="20"/>
          <w:lang w:eastAsia="de-DE"/>
        </w:rPr>
      </w:pPr>
      <w:r>
        <w:rPr>
          <w:rFonts w:ascii="Arial" w:eastAsia="Times New Roman" w:hAnsi="Arial" w:cs="Arial"/>
          <w:sz w:val="20"/>
          <w:szCs w:val="20"/>
          <w:lang w:eastAsia="de-DE"/>
        </w:rPr>
        <w:t xml:space="preserve">c/o Rechtsanwälte Dr. Gaupp &amp; </w:t>
      </w:r>
      <w:proofErr w:type="spellStart"/>
      <w:r>
        <w:rPr>
          <w:rFonts w:ascii="Arial" w:eastAsia="Times New Roman" w:hAnsi="Arial" w:cs="Arial"/>
          <w:sz w:val="20"/>
          <w:szCs w:val="20"/>
          <w:lang w:eastAsia="de-DE"/>
        </w:rPr>
        <w:t>Coll</w:t>
      </w:r>
      <w:proofErr w:type="spellEnd"/>
      <w:r>
        <w:rPr>
          <w:rFonts w:ascii="Arial" w:eastAsia="Times New Roman" w:hAnsi="Arial" w:cs="Arial"/>
          <w:sz w:val="20"/>
          <w:szCs w:val="20"/>
          <w:lang w:eastAsia="de-DE"/>
        </w:rPr>
        <w:t>.</w:t>
      </w:r>
    </w:p>
    <w:p w:rsidR="00DA006F" w:rsidRPr="00F743BD" w:rsidRDefault="00DA006F" w:rsidP="00DA006F">
      <w:pPr>
        <w:rPr>
          <w:rFonts w:ascii="Arial" w:eastAsia="Times New Roman" w:hAnsi="Arial" w:cs="Arial"/>
          <w:sz w:val="20"/>
          <w:szCs w:val="20"/>
          <w:lang w:eastAsia="de-DE"/>
        </w:rPr>
      </w:pPr>
      <w:r>
        <w:rPr>
          <w:rFonts w:ascii="Arial" w:eastAsia="Times New Roman" w:hAnsi="Arial" w:cs="Arial"/>
          <w:sz w:val="20"/>
          <w:szCs w:val="20"/>
          <w:lang w:eastAsia="de-DE"/>
        </w:rPr>
        <w:t>Kronprinzstraße 14</w:t>
      </w:r>
    </w:p>
    <w:p w:rsidR="009C0973" w:rsidRDefault="00DA006F" w:rsidP="00DA006F">
      <w:pPr>
        <w:rPr>
          <w:rFonts w:ascii="Arial" w:eastAsia="Times New Roman" w:hAnsi="Arial" w:cs="Arial"/>
          <w:sz w:val="20"/>
          <w:szCs w:val="20"/>
          <w:lang w:eastAsia="de-DE"/>
        </w:rPr>
      </w:pPr>
      <w:r w:rsidRPr="00F743BD">
        <w:rPr>
          <w:rFonts w:ascii="Arial" w:eastAsia="Times New Roman" w:hAnsi="Arial" w:cs="Arial"/>
          <w:sz w:val="20"/>
          <w:szCs w:val="20"/>
          <w:lang w:eastAsia="de-DE"/>
        </w:rPr>
        <w:t>7017</w:t>
      </w:r>
      <w:r>
        <w:rPr>
          <w:rFonts w:ascii="Arial" w:eastAsia="Times New Roman" w:hAnsi="Arial" w:cs="Arial"/>
          <w:sz w:val="20"/>
          <w:szCs w:val="20"/>
          <w:lang w:eastAsia="de-DE"/>
        </w:rPr>
        <w:t>3</w:t>
      </w:r>
      <w:r w:rsidRPr="00F743BD">
        <w:rPr>
          <w:rFonts w:ascii="Arial" w:eastAsia="Times New Roman" w:hAnsi="Arial" w:cs="Arial"/>
          <w:sz w:val="20"/>
          <w:szCs w:val="20"/>
          <w:lang w:eastAsia="de-DE"/>
        </w:rPr>
        <w:t xml:space="preserve"> Stuttg</w:t>
      </w:r>
      <w:r>
        <w:rPr>
          <w:rFonts w:ascii="Arial" w:eastAsia="Times New Roman" w:hAnsi="Arial" w:cs="Arial"/>
          <w:sz w:val="20"/>
          <w:szCs w:val="20"/>
          <w:lang w:eastAsia="de-DE"/>
        </w:rPr>
        <w:t>art</w:t>
      </w:r>
    </w:p>
    <w:p w:rsidR="00DA006F" w:rsidRDefault="00DA006F" w:rsidP="00DA006F">
      <w:pPr>
        <w:rPr>
          <w:rFonts w:ascii="Arial" w:eastAsia="Times New Roman" w:hAnsi="Arial" w:cs="Arial"/>
          <w:sz w:val="20"/>
          <w:szCs w:val="20"/>
          <w:lang w:eastAsia="de-DE"/>
        </w:rPr>
      </w:pPr>
    </w:p>
    <w:p w:rsidR="00DA006F" w:rsidRPr="00137886" w:rsidRDefault="00DA006F" w:rsidP="00DA006F">
      <w:pPr>
        <w:rPr>
          <w:rFonts w:ascii="Arial" w:eastAsia="Times New Roman" w:hAnsi="Arial" w:cs="Arial"/>
          <w:sz w:val="20"/>
          <w:szCs w:val="20"/>
          <w:lang w:val="en-US" w:eastAsia="de-DE"/>
        </w:rPr>
      </w:pPr>
      <w:r w:rsidRPr="00137886">
        <w:rPr>
          <w:rFonts w:ascii="Arial" w:eastAsia="Times New Roman" w:hAnsi="Arial" w:cs="Arial"/>
          <w:sz w:val="20"/>
          <w:szCs w:val="20"/>
          <w:lang w:val="en-US" w:eastAsia="de-DE"/>
        </w:rPr>
        <w:t>Tel.: 0711 – 3058 930</w:t>
      </w:r>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r>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Fax: 0711 - 3058 9311</w:t>
      </w:r>
    </w:p>
    <w:p w:rsidR="00DA006F" w:rsidRPr="00137886" w:rsidRDefault="00DA006F" w:rsidP="00DA006F">
      <w:pPr>
        <w:rPr>
          <w:rFonts w:ascii="Arial" w:eastAsia="Times New Roman" w:hAnsi="Arial" w:cs="Arial"/>
          <w:sz w:val="20"/>
          <w:szCs w:val="24"/>
          <w:lang w:val="en-US"/>
        </w:rPr>
      </w:pPr>
      <w:r w:rsidRPr="00137886">
        <w:rPr>
          <w:rFonts w:ascii="Arial" w:eastAsia="Times New Roman" w:hAnsi="Arial" w:cs="Arial"/>
          <w:sz w:val="20"/>
          <w:szCs w:val="20"/>
          <w:lang w:val="en-US" w:eastAsia="de-DE"/>
        </w:rPr>
        <w:t xml:space="preserve">Email: </w:t>
      </w:r>
      <w:hyperlink r:id="rId7" w:history="1">
        <w:r w:rsidRPr="00137886">
          <w:rPr>
            <w:rStyle w:val="Hyperlink"/>
            <w:rFonts w:ascii="Arial" w:eastAsia="Times New Roman" w:hAnsi="Arial" w:cs="Arial"/>
            <w:sz w:val="20"/>
            <w:szCs w:val="20"/>
            <w:lang w:val="en-US" w:eastAsia="de-DE"/>
          </w:rPr>
          <w:t>stuttgart@drgaupp.de</w:t>
        </w:r>
      </w:hyperlink>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hyperlink r:id="rId8" w:history="1">
        <w:r w:rsidRPr="00CF40C7">
          <w:rPr>
            <w:rStyle w:val="Hyperlink"/>
            <w:rFonts w:ascii="Arial" w:eastAsia="Times New Roman" w:hAnsi="Arial" w:cs="Arial"/>
            <w:sz w:val="20"/>
            <w:szCs w:val="20"/>
            <w:lang w:val="en-US" w:eastAsia="de-DE"/>
          </w:rPr>
          <w:t>www.drgaupp.de</w:t>
        </w:r>
      </w:hyperlink>
      <w:r w:rsidRPr="00137886">
        <w:rPr>
          <w:rFonts w:ascii="Arial" w:eastAsia="Times New Roman" w:hAnsi="Arial" w:cs="Arial"/>
          <w:sz w:val="20"/>
          <w:szCs w:val="20"/>
          <w:lang w:val="en-US" w:eastAsia="de-DE"/>
        </w:rPr>
        <w:t xml:space="preserve"> </w:t>
      </w:r>
    </w:p>
    <w:p w:rsidR="00DA006F" w:rsidRPr="00137886" w:rsidRDefault="00DA006F" w:rsidP="00DA006F">
      <w:pPr>
        <w:spacing w:line="360" w:lineRule="auto"/>
        <w:jc w:val="both"/>
        <w:rPr>
          <w:rFonts w:ascii="Arial" w:hAnsi="Arial" w:cs="Arial"/>
          <w:lang w:val="en-US"/>
        </w:rPr>
      </w:pPr>
    </w:p>
    <w:p w:rsidR="00DA006F" w:rsidRPr="00DA006F" w:rsidRDefault="00DA006F" w:rsidP="00DA006F">
      <w:pPr>
        <w:rPr>
          <w:rFonts w:ascii="Arial" w:eastAsia="Times New Roman" w:hAnsi="Arial" w:cs="Arial"/>
          <w:sz w:val="20"/>
          <w:szCs w:val="20"/>
          <w:lang w:eastAsia="de-DE"/>
        </w:rPr>
      </w:pPr>
    </w:p>
    <w:sectPr w:rsidR="00DA006F" w:rsidRPr="00DA006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6F" w:rsidRDefault="00DA006F" w:rsidP="00DA006F">
      <w:r>
        <w:separator/>
      </w:r>
    </w:p>
  </w:endnote>
  <w:endnote w:type="continuationSeparator" w:id="0">
    <w:p w:rsidR="00DA006F" w:rsidRDefault="00DA006F" w:rsidP="00DA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6F" w:rsidRDefault="00DA006F" w:rsidP="00DA006F">
      <w:r>
        <w:separator/>
      </w:r>
    </w:p>
  </w:footnote>
  <w:footnote w:type="continuationSeparator" w:id="0">
    <w:p w:rsidR="00DA006F" w:rsidRDefault="00DA006F" w:rsidP="00DA0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7E8" w:rsidRPr="003727E8" w:rsidRDefault="003727E8" w:rsidP="003727E8">
    <w:pPr>
      <w:tabs>
        <w:tab w:val="center" w:pos="4535"/>
        <w:tab w:val="right" w:pos="9071"/>
      </w:tabs>
      <w:jc w:val="center"/>
      <w:rPr>
        <w:rFonts w:ascii="Arial" w:hAnsi="Arial" w:cs="Arial"/>
        <w:b/>
        <w:bCs/>
        <w:sz w:val="28"/>
        <w:szCs w:val="28"/>
      </w:rPr>
    </w:pPr>
    <w:r w:rsidRPr="003727E8">
      <w:rPr>
        <w:rFonts w:ascii="Arial" w:hAnsi="Arial" w:cs="Arial"/>
        <w:b/>
        <w:bCs/>
        <w:sz w:val="28"/>
        <w:szCs w:val="28"/>
      </w:rPr>
      <w:t>VDAA-Arbeitsrechtsdepesche 10-2020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A"/>
    <w:rsid w:val="003727E8"/>
    <w:rsid w:val="00932100"/>
    <w:rsid w:val="009C0973"/>
    <w:rsid w:val="00DA006F"/>
    <w:rsid w:val="00E70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5EE06-61F4-49A4-81C5-368FAEE6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0C5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70C5A"/>
    <w:rPr>
      <w:color w:val="0563C1"/>
      <w:u w:val="single"/>
    </w:rPr>
  </w:style>
  <w:style w:type="paragraph" w:styleId="Kopfzeile">
    <w:name w:val="header"/>
    <w:basedOn w:val="Standard"/>
    <w:link w:val="KopfzeileZchn"/>
    <w:uiPriority w:val="99"/>
    <w:unhideWhenUsed/>
    <w:rsid w:val="00DA006F"/>
    <w:pPr>
      <w:tabs>
        <w:tab w:val="center" w:pos="4536"/>
        <w:tab w:val="right" w:pos="9072"/>
      </w:tabs>
    </w:pPr>
  </w:style>
  <w:style w:type="character" w:customStyle="1" w:styleId="KopfzeileZchn">
    <w:name w:val="Kopfzeile Zchn"/>
    <w:basedOn w:val="Absatz-Standardschriftart"/>
    <w:link w:val="Kopfzeile"/>
    <w:uiPriority w:val="99"/>
    <w:rsid w:val="00DA006F"/>
    <w:rPr>
      <w:rFonts w:ascii="Calibri" w:hAnsi="Calibri" w:cs="Calibri"/>
    </w:rPr>
  </w:style>
  <w:style w:type="paragraph" w:styleId="Fuzeile">
    <w:name w:val="footer"/>
    <w:basedOn w:val="Standard"/>
    <w:link w:val="FuzeileZchn"/>
    <w:uiPriority w:val="99"/>
    <w:unhideWhenUsed/>
    <w:rsid w:val="00DA006F"/>
    <w:pPr>
      <w:tabs>
        <w:tab w:val="center" w:pos="4536"/>
        <w:tab w:val="right" w:pos="9072"/>
      </w:tabs>
    </w:pPr>
  </w:style>
  <w:style w:type="character" w:customStyle="1" w:styleId="FuzeileZchn">
    <w:name w:val="Fußzeile Zchn"/>
    <w:basedOn w:val="Absatz-Standardschriftart"/>
    <w:link w:val="Fuzeile"/>
    <w:uiPriority w:val="99"/>
    <w:rsid w:val="00DA006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3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3214</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2020-10-14T08:04:00Z</dcterms:created>
  <dcterms:modified xsi:type="dcterms:W3CDTF">2020-11-05T10:41:00Z</dcterms:modified>
</cp:coreProperties>
</file>