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16E" w:rsidRPr="00F6016E" w:rsidRDefault="00F6016E" w:rsidP="00F6016E">
      <w:pPr>
        <w:tabs>
          <w:tab w:val="left" w:pos="426"/>
        </w:tabs>
        <w:autoSpaceDE w:val="0"/>
        <w:autoSpaceDN w:val="0"/>
        <w:spacing w:after="200" w:line="276" w:lineRule="auto"/>
        <w:jc w:val="right"/>
        <w:rPr>
          <w:rFonts w:ascii="Calibri" w:eastAsia="ヒラギノ角ゴ Pro W3" w:hAnsi="Calibri" w:cs="Calibri"/>
          <w:color w:val="1F497D"/>
        </w:rPr>
      </w:pPr>
      <w:bookmarkStart w:id="0" w:name="_GoBack"/>
      <w:bookmarkEnd w:id="0"/>
      <w:r w:rsidRPr="00F6016E">
        <w:rPr>
          <w:rFonts w:ascii="Cambria" w:eastAsia="ヒラギノ角ゴ Pro W3" w:hAnsi="Cambria" w:cs="Cambria"/>
          <w:b/>
          <w:bCs/>
          <w:color w:val="1F497D"/>
          <w:spacing w:val="20"/>
          <w:sz w:val="80"/>
          <w:szCs w:val="80"/>
        </w:rPr>
        <w:t>V</w:t>
      </w:r>
      <w:r w:rsidRPr="00F6016E">
        <w:rPr>
          <w:rFonts w:ascii="Cambria" w:eastAsia="ヒラギノ角ゴ Pro W3" w:hAnsi="Cambria" w:cs="Cambria"/>
          <w:b/>
          <w:bCs/>
          <w:color w:val="1F497D"/>
          <w:spacing w:val="20"/>
          <w:sz w:val="60"/>
          <w:szCs w:val="60"/>
        </w:rPr>
        <w:t>DAA</w:t>
      </w:r>
    </w:p>
    <w:p w:rsidR="00F6016E" w:rsidRPr="00F6016E" w:rsidRDefault="00F6016E" w:rsidP="00F6016E">
      <w:pPr>
        <w:tabs>
          <w:tab w:val="center" w:pos="4536"/>
          <w:tab w:val="right" w:pos="9072"/>
        </w:tabs>
        <w:spacing w:after="200" w:line="276" w:lineRule="auto"/>
        <w:jc w:val="right"/>
        <w:rPr>
          <w:rFonts w:ascii="Calibri" w:hAnsi="Calibri" w:cs="Arial"/>
          <w:b/>
          <w:bCs/>
        </w:rPr>
      </w:pPr>
      <w:r w:rsidRPr="00F6016E">
        <w:rPr>
          <w:rFonts w:ascii="Calibri" w:eastAsia="ヒラギノ角ゴ Pro W3" w:hAnsi="Calibri" w:cs="Calibri"/>
          <w:b/>
          <w:bCs/>
          <w:color w:val="5A5A5A"/>
          <w:sz w:val="28"/>
          <w:szCs w:val="28"/>
        </w:rPr>
        <w:t>V</w:t>
      </w:r>
      <w:r w:rsidRPr="00F6016E">
        <w:rPr>
          <w:rFonts w:ascii="Calibri" w:eastAsia="ヒラギノ角ゴ Pro W3" w:hAnsi="Calibri" w:cs="Calibri"/>
          <w:b/>
          <w:bCs/>
          <w:color w:val="5A5A5A"/>
        </w:rPr>
        <w:t xml:space="preserve">erband deutscher </w:t>
      </w:r>
      <w:proofErr w:type="spellStart"/>
      <w:r w:rsidRPr="00F6016E">
        <w:rPr>
          <w:rFonts w:ascii="Calibri" w:eastAsia="ヒラギノ角ゴ Pro W3" w:hAnsi="Calibri" w:cs="Calibri"/>
          <w:b/>
          <w:bCs/>
          <w:color w:val="5A5A5A"/>
        </w:rPr>
        <w:t>ArbeitsrechtsAnwälte</w:t>
      </w:r>
      <w:proofErr w:type="spellEnd"/>
      <w:r w:rsidRPr="00F6016E">
        <w:rPr>
          <w:rFonts w:ascii="Calibri" w:eastAsia="ヒラギノ角ゴ Pro W3" w:hAnsi="Calibri" w:cs="Calibri"/>
          <w:b/>
          <w:bCs/>
          <w:color w:val="5A5A5A"/>
        </w:rPr>
        <w:t xml:space="preserve"> e. V.</w:t>
      </w:r>
    </w:p>
    <w:p w:rsidR="001B21BD" w:rsidRDefault="001B21BD" w:rsidP="00F6016E">
      <w:pPr>
        <w:spacing w:after="0" w:line="360" w:lineRule="auto"/>
        <w:rPr>
          <w:rFonts w:ascii="Arial" w:hAnsi="Arial" w:cs="Arial"/>
        </w:rPr>
      </w:pPr>
    </w:p>
    <w:p w:rsidR="00F6016E" w:rsidRPr="00F6016E" w:rsidRDefault="00F6016E" w:rsidP="00F6016E">
      <w:pPr>
        <w:spacing w:after="0" w:line="360" w:lineRule="auto"/>
        <w:rPr>
          <w:rFonts w:ascii="Arial" w:hAnsi="Arial" w:cs="Arial"/>
          <w:b/>
          <w:bCs/>
        </w:rPr>
      </w:pPr>
      <w:r w:rsidRPr="00F6016E">
        <w:rPr>
          <w:rFonts w:ascii="Arial" w:hAnsi="Arial" w:cs="Arial"/>
          <w:b/>
          <w:bCs/>
        </w:rPr>
        <w:t>Ruhegeld — Ablösung — Überversorgung</w:t>
      </w:r>
    </w:p>
    <w:p w:rsidR="00F6016E" w:rsidRDefault="00F6016E" w:rsidP="00F6016E">
      <w:pPr>
        <w:spacing w:after="0" w:line="360" w:lineRule="auto"/>
        <w:jc w:val="both"/>
        <w:rPr>
          <w:rFonts w:ascii="Arial" w:hAnsi="Arial" w:cs="Arial"/>
        </w:rPr>
      </w:pPr>
    </w:p>
    <w:p w:rsidR="00F6016E" w:rsidRDefault="00F6016E" w:rsidP="00F6016E">
      <w:pPr>
        <w:spacing w:after="0" w:line="360" w:lineRule="auto"/>
        <w:jc w:val="both"/>
        <w:rPr>
          <w:rFonts w:ascii="Arial" w:hAnsi="Arial" w:cs="Arial"/>
        </w:rPr>
      </w:pPr>
      <w:r w:rsidRPr="00F743BD">
        <w:rPr>
          <w:rFonts w:ascii="Arial" w:hAnsi="Arial" w:cs="Arial"/>
        </w:rPr>
        <w:t xml:space="preserve">ein Artikel von Rechtsanwalt und Fachanwalt für Arbeitsrecht </w:t>
      </w:r>
      <w:proofErr w:type="spellStart"/>
      <w:r w:rsidRPr="00F743BD">
        <w:rPr>
          <w:rFonts w:ascii="Arial" w:hAnsi="Arial" w:cs="Arial"/>
        </w:rPr>
        <w:t>Frhr</w:t>
      </w:r>
      <w:proofErr w:type="spellEnd"/>
      <w:r w:rsidRPr="00F743BD">
        <w:rPr>
          <w:rFonts w:ascii="Arial" w:hAnsi="Arial" w:cs="Arial"/>
        </w:rPr>
        <w:t xml:space="preserve">. </w:t>
      </w:r>
      <w:proofErr w:type="spellStart"/>
      <w:r w:rsidRPr="00F743BD">
        <w:rPr>
          <w:rFonts w:ascii="Arial" w:hAnsi="Arial" w:cs="Arial"/>
        </w:rPr>
        <w:t>Fenimore</w:t>
      </w:r>
      <w:proofErr w:type="spellEnd"/>
      <w:r w:rsidRPr="00F743BD">
        <w:rPr>
          <w:rFonts w:ascii="Arial" w:hAnsi="Arial" w:cs="Arial"/>
        </w:rPr>
        <w:t xml:space="preserve"> von Bredow, Köln</w:t>
      </w:r>
    </w:p>
    <w:p w:rsidR="00F6016E" w:rsidRDefault="00F6016E" w:rsidP="00F6016E">
      <w:pPr>
        <w:spacing w:after="0" w:line="360" w:lineRule="auto"/>
        <w:jc w:val="both"/>
        <w:rPr>
          <w:rFonts w:ascii="Arial" w:hAnsi="Arial" w:cs="Arial"/>
        </w:rPr>
      </w:pPr>
    </w:p>
    <w:p w:rsidR="00F6016E" w:rsidRDefault="00F6016E" w:rsidP="00F6016E">
      <w:pPr>
        <w:spacing w:after="0" w:line="360" w:lineRule="auto"/>
        <w:jc w:val="both"/>
        <w:rPr>
          <w:rFonts w:ascii="Arial" w:hAnsi="Arial" w:cs="Arial"/>
        </w:rPr>
      </w:pPr>
      <w:r w:rsidRPr="00F6016E">
        <w:rPr>
          <w:rFonts w:ascii="Arial" w:hAnsi="Arial" w:cs="Arial"/>
        </w:rPr>
        <w:t>Liegt ein Fall der planmäßigen Überversorgung vor, können im öffentlichen Dienst die Anforderungen der sparsamen und wirtschaftlichen Haushaltsführung die Anpassung von Versorgungsregelungen, wie etwa die Einführung einer sog. Nettolimitierung, rechtfertigen. Die Grundsätze des Vertrauensschutzes und der Verhältnismäßigkeit können die Änderung einer Anpassungsregelung stützen.</w:t>
      </w:r>
    </w:p>
    <w:p w:rsidR="00F6016E" w:rsidRPr="00F6016E" w:rsidRDefault="00F6016E" w:rsidP="00F6016E">
      <w:pPr>
        <w:spacing w:after="0" w:line="360" w:lineRule="auto"/>
        <w:jc w:val="both"/>
        <w:rPr>
          <w:rFonts w:ascii="Arial" w:hAnsi="Arial" w:cs="Arial"/>
        </w:rPr>
      </w:pPr>
    </w:p>
    <w:p w:rsidR="00F6016E" w:rsidRDefault="00F6016E" w:rsidP="00F6016E">
      <w:pPr>
        <w:spacing w:after="0" w:line="360" w:lineRule="auto"/>
        <w:jc w:val="both"/>
        <w:rPr>
          <w:rFonts w:ascii="Arial" w:hAnsi="Arial" w:cs="Arial"/>
        </w:rPr>
      </w:pPr>
      <w:r w:rsidRPr="00F6016E">
        <w:rPr>
          <w:rFonts w:ascii="Arial" w:hAnsi="Arial" w:cs="Arial"/>
        </w:rPr>
        <w:t xml:space="preserve">Darauf verweist der Kölner Fachanwalt für Arbeitsrecht </w:t>
      </w:r>
      <w:proofErr w:type="spellStart"/>
      <w:r w:rsidRPr="00F6016E">
        <w:rPr>
          <w:rFonts w:ascii="Arial" w:hAnsi="Arial" w:cs="Arial"/>
        </w:rPr>
        <w:t>Frhr</w:t>
      </w:r>
      <w:proofErr w:type="spellEnd"/>
      <w:r w:rsidRPr="00F6016E">
        <w:rPr>
          <w:rFonts w:ascii="Arial" w:hAnsi="Arial" w:cs="Arial"/>
        </w:rPr>
        <w:t xml:space="preserve">. </w:t>
      </w:r>
      <w:proofErr w:type="spellStart"/>
      <w:r w:rsidRPr="00F6016E">
        <w:rPr>
          <w:rFonts w:ascii="Arial" w:hAnsi="Arial" w:cs="Arial"/>
        </w:rPr>
        <w:t>Fenimore</w:t>
      </w:r>
      <w:proofErr w:type="spellEnd"/>
      <w:r w:rsidRPr="00F6016E">
        <w:rPr>
          <w:rFonts w:ascii="Arial" w:hAnsi="Arial" w:cs="Arial"/>
        </w:rPr>
        <w:t xml:space="preserve"> von Bredow, Vizepräsident des VDAA Verband deutscher </w:t>
      </w:r>
      <w:proofErr w:type="spellStart"/>
      <w:r w:rsidRPr="00F6016E">
        <w:rPr>
          <w:rFonts w:ascii="Arial" w:hAnsi="Arial" w:cs="Arial"/>
        </w:rPr>
        <w:t>ArbeitsrechtsAnwälte</w:t>
      </w:r>
      <w:proofErr w:type="spellEnd"/>
      <w:r w:rsidRPr="00F6016E">
        <w:rPr>
          <w:rFonts w:ascii="Arial" w:hAnsi="Arial" w:cs="Arial"/>
        </w:rPr>
        <w:t xml:space="preserve"> e. V. mit Sitz in Stuttgart, unter Hinweis auf die Mitteilung des Bundesarbeitsgerichts (BAG) zu seinem Urteil vom 13. Oktober 2020 — 3 AZR 410/19.</w:t>
      </w:r>
    </w:p>
    <w:p w:rsidR="00F6016E" w:rsidRPr="00F6016E" w:rsidRDefault="00F6016E" w:rsidP="00F6016E">
      <w:pPr>
        <w:spacing w:after="0" w:line="360" w:lineRule="auto"/>
        <w:jc w:val="both"/>
        <w:rPr>
          <w:rFonts w:ascii="Arial" w:hAnsi="Arial" w:cs="Arial"/>
        </w:rPr>
      </w:pPr>
    </w:p>
    <w:p w:rsidR="00F6016E" w:rsidRDefault="00F6016E" w:rsidP="00F6016E">
      <w:pPr>
        <w:spacing w:after="0" w:line="360" w:lineRule="auto"/>
        <w:jc w:val="both"/>
        <w:rPr>
          <w:rFonts w:ascii="Arial" w:hAnsi="Arial" w:cs="Arial"/>
        </w:rPr>
      </w:pPr>
      <w:r w:rsidRPr="00F6016E">
        <w:rPr>
          <w:rFonts w:ascii="Arial" w:hAnsi="Arial" w:cs="Arial"/>
        </w:rPr>
        <w:t xml:space="preserve">Dem Kläger war von seinem früheren Arbeitgeber — einer Handelskammer — eine betriebliche Altersversorgung in Form einer Gesamtzusage (VO I) zugesagt worden. Im Jahr 1995 wurde die VO I überarbeitet (VO I 1995) und für Neueintritte geschlossen. Zugesagt war hiernach eine Gesamtversorgung </w:t>
      </w:r>
      <w:proofErr w:type="spellStart"/>
      <w:r w:rsidRPr="00F6016E">
        <w:rPr>
          <w:rFonts w:ascii="Arial" w:hAnsi="Arial" w:cs="Arial"/>
        </w:rPr>
        <w:t>iHv</w:t>
      </w:r>
      <w:proofErr w:type="spellEnd"/>
      <w:r w:rsidRPr="00F6016E">
        <w:rPr>
          <w:rFonts w:ascii="Arial" w:hAnsi="Arial" w:cs="Arial"/>
        </w:rPr>
        <w:t xml:space="preserve">. max. 75 </w:t>
      </w:r>
      <w:proofErr w:type="spellStart"/>
      <w:r w:rsidRPr="00F6016E">
        <w:rPr>
          <w:rFonts w:ascii="Arial" w:hAnsi="Arial" w:cs="Arial"/>
        </w:rPr>
        <w:t>vH</w:t>
      </w:r>
      <w:proofErr w:type="spellEnd"/>
      <w:r w:rsidRPr="00F6016E">
        <w:rPr>
          <w:rFonts w:ascii="Arial" w:hAnsi="Arial" w:cs="Arial"/>
        </w:rPr>
        <w:t xml:space="preserve"> des zuletzt bezogenen Bruttogehalts unter Anrechnung der gesetzlichen Rente. Im Versorgungsfall wurde der Gesamtversorgungsbetrag jeweils entsprechend der Erhöhung der Tarifgehälter aufgrund einer betrieblichen Übung angepasst. Seit 1991 lag — bei einer Bruttoversorgung von 75 </w:t>
      </w:r>
      <w:proofErr w:type="spellStart"/>
      <w:r w:rsidRPr="00F6016E">
        <w:rPr>
          <w:rFonts w:ascii="Arial" w:hAnsi="Arial" w:cs="Arial"/>
        </w:rPr>
        <w:t>vH</w:t>
      </w:r>
      <w:proofErr w:type="spellEnd"/>
      <w:r w:rsidRPr="00F6016E">
        <w:rPr>
          <w:rFonts w:ascii="Arial" w:hAnsi="Arial" w:cs="Arial"/>
        </w:rPr>
        <w:t xml:space="preserve"> bezogen auf einen Durchschnittsverdienst — eine sog. Überversorgung </w:t>
      </w:r>
      <w:proofErr w:type="spellStart"/>
      <w:r w:rsidRPr="00F6016E">
        <w:rPr>
          <w:rFonts w:ascii="Arial" w:hAnsi="Arial" w:cs="Arial"/>
        </w:rPr>
        <w:t>iHv</w:t>
      </w:r>
      <w:proofErr w:type="spellEnd"/>
      <w:r w:rsidRPr="00F6016E">
        <w:rPr>
          <w:rFonts w:ascii="Arial" w:hAnsi="Arial" w:cs="Arial"/>
        </w:rPr>
        <w:t xml:space="preserve">. 107,4 </w:t>
      </w:r>
      <w:proofErr w:type="spellStart"/>
      <w:r w:rsidRPr="00F6016E">
        <w:rPr>
          <w:rFonts w:ascii="Arial" w:hAnsi="Arial" w:cs="Arial"/>
        </w:rPr>
        <w:t>vH</w:t>
      </w:r>
      <w:proofErr w:type="spellEnd"/>
      <w:r w:rsidRPr="00F6016E">
        <w:rPr>
          <w:rFonts w:ascii="Arial" w:hAnsi="Arial" w:cs="Arial"/>
        </w:rPr>
        <w:t xml:space="preserve"> vor, in den Jahren 1995 und 2015 </w:t>
      </w:r>
      <w:proofErr w:type="spellStart"/>
      <w:r w:rsidRPr="00F6016E">
        <w:rPr>
          <w:rFonts w:ascii="Arial" w:hAnsi="Arial" w:cs="Arial"/>
        </w:rPr>
        <w:t>iHv</w:t>
      </w:r>
      <w:proofErr w:type="spellEnd"/>
      <w:r w:rsidRPr="00F6016E">
        <w:rPr>
          <w:rFonts w:ascii="Arial" w:hAnsi="Arial" w:cs="Arial"/>
        </w:rPr>
        <w:t xml:space="preserve">. 113,1 </w:t>
      </w:r>
      <w:proofErr w:type="spellStart"/>
      <w:r w:rsidRPr="00F6016E">
        <w:rPr>
          <w:rFonts w:ascii="Arial" w:hAnsi="Arial" w:cs="Arial"/>
        </w:rPr>
        <w:t>vH.</w:t>
      </w:r>
      <w:proofErr w:type="spellEnd"/>
      <w:r w:rsidRPr="00F6016E">
        <w:rPr>
          <w:rFonts w:ascii="Arial" w:hAnsi="Arial" w:cs="Arial"/>
        </w:rPr>
        <w:t xml:space="preserve"> Zum Abbau der Überversorgung schloss die ehemalige Arbeitgeberin 2017 mit ihrem Personalrat eine Dienstvereinbarung (DV 2017). Hierdurch wurde für die Versorgungsempfänger eine sog. Nettolimitierung eingeführt. Um eine Reduzierung des bisher gezahlten Ruhegeldes zu vermeiden, ist ein Ausgleichsbetrag vorgesehen. Gleichzeitig wurde die Regelung über die Anpassung der laufenden Ruhegelder dahin geändert, dass keine Anpassung der Gesamtversorgung an die Tarifentwicklung mehr erfolgt, sondern nur noch des gezahlten Ruhegeldes. Die Rentensteigerungen in der gesetzlichen Rentenversicherung werden nicht mehr angerechnet. Der Ausgleichsbetrag, der an der Tarifsteigerung ebenfalls nicht teilhat, wird über einen Zeitraum von in der Regel 10 Jahren abgeschmolzen. Für den </w:t>
      </w:r>
      <w:r w:rsidRPr="00F6016E">
        <w:rPr>
          <w:rFonts w:ascii="Arial" w:hAnsi="Arial" w:cs="Arial"/>
        </w:rPr>
        <w:lastRenderedPageBreak/>
        <w:t>Kläger bedeutet dies, dass sich das zuletzt gezahlte Ruhegeld tatsächlich nicht vermindert hat, ihm allerdings im Vergleich zur Rechtslage nach der VO I 1995 ab dem 1. April 2017 Steigerungen seines Ruhegeldes entgangen sind.</w:t>
      </w:r>
    </w:p>
    <w:p w:rsidR="00F6016E" w:rsidRPr="00F6016E" w:rsidRDefault="00F6016E" w:rsidP="00F6016E">
      <w:pPr>
        <w:spacing w:after="0" w:line="360" w:lineRule="auto"/>
        <w:jc w:val="both"/>
        <w:rPr>
          <w:rFonts w:ascii="Arial" w:hAnsi="Arial" w:cs="Arial"/>
        </w:rPr>
      </w:pPr>
    </w:p>
    <w:p w:rsidR="00F6016E" w:rsidRDefault="00F6016E" w:rsidP="00F6016E">
      <w:pPr>
        <w:spacing w:after="0" w:line="360" w:lineRule="auto"/>
        <w:jc w:val="both"/>
        <w:rPr>
          <w:rFonts w:ascii="Arial" w:hAnsi="Arial" w:cs="Arial"/>
        </w:rPr>
      </w:pPr>
      <w:r w:rsidRPr="00F6016E">
        <w:rPr>
          <w:rFonts w:ascii="Arial" w:hAnsi="Arial" w:cs="Arial"/>
        </w:rPr>
        <w:t>Der Kläger begehrt mit seiner Klage ein Altersruhegeld nach den bisherigen Regelungen der VO I 1995. Die Ablösung der VO I 1995 und der Anpassungsregelung durch die DV 2017 sei ihm gegenüber nicht wirksam erfolgt. Das Arbeitsgericht hat die Klage abgewiesen, das Landesarbeitsgericht hat ihr stattgegeben.</w:t>
      </w:r>
    </w:p>
    <w:p w:rsidR="00F6016E" w:rsidRPr="00F6016E" w:rsidRDefault="00F6016E" w:rsidP="00F6016E">
      <w:pPr>
        <w:spacing w:after="0" w:line="360" w:lineRule="auto"/>
        <w:jc w:val="both"/>
        <w:rPr>
          <w:rFonts w:ascii="Arial" w:hAnsi="Arial" w:cs="Arial"/>
        </w:rPr>
      </w:pPr>
    </w:p>
    <w:p w:rsidR="00F6016E" w:rsidRPr="00F6016E" w:rsidRDefault="00F6016E" w:rsidP="00F6016E">
      <w:pPr>
        <w:spacing w:after="0" w:line="360" w:lineRule="auto"/>
        <w:jc w:val="both"/>
        <w:rPr>
          <w:rFonts w:ascii="Arial" w:hAnsi="Arial" w:cs="Arial"/>
        </w:rPr>
      </w:pPr>
      <w:r w:rsidRPr="00F6016E">
        <w:rPr>
          <w:rFonts w:ascii="Arial" w:hAnsi="Arial" w:cs="Arial"/>
        </w:rPr>
        <w:t>Die Revision der Beklagten hatte vor dem Dritten Senat des Bundesarbeitsgerichts Erfolg.</w:t>
      </w:r>
    </w:p>
    <w:p w:rsidR="00F6016E" w:rsidRDefault="00F6016E" w:rsidP="00F6016E">
      <w:pPr>
        <w:spacing w:after="0" w:line="360" w:lineRule="auto"/>
        <w:jc w:val="both"/>
        <w:rPr>
          <w:rFonts w:ascii="Arial" w:hAnsi="Arial" w:cs="Arial"/>
        </w:rPr>
      </w:pPr>
      <w:r w:rsidRPr="00F6016E">
        <w:rPr>
          <w:rFonts w:ascii="Arial" w:hAnsi="Arial" w:cs="Arial"/>
        </w:rPr>
        <w:t>Die DV 2017, die die Beklagte gegenüber dem Kläger als Ruhegeldempfänger auch bei einer ggf. vorliegenden Teilunwirksamkeit wegen Überschreitung der Regelungsmacht der Dienstvereinbarungsparteien umsetzen konnte, war geeignet, die VO I 1995 und die auf betrieblicher Übung beruhende Anpassungsregelung abzulösen. Die damit verbundenen Eingriffe hielten einer rechtlichen Überprüfung stand. Sie konnten auf das gesetzliche Gebot der sparsamen und wirtschaftlichen Haushaltsführung des öffentlichen Dienstes bzw. die Ablösungsoffenheit der Versorgungsregelungen unter Berücksichtigung der Grundsätze des Vertrauensschutzes und der Verhältnismäßigkeit gestützt werden. Sowohl die Einführung der sog. Nettolimitierung zum Abbau einer planmäßigen Überversorgung als auch die Änderung der Anpassungsregelung waren ausreichend sachlich gerechtfertigt.</w:t>
      </w:r>
    </w:p>
    <w:p w:rsidR="00F6016E" w:rsidRPr="00F6016E" w:rsidRDefault="00F6016E" w:rsidP="00F6016E">
      <w:pPr>
        <w:spacing w:after="0" w:line="360" w:lineRule="auto"/>
        <w:jc w:val="both"/>
        <w:rPr>
          <w:rFonts w:ascii="Arial" w:hAnsi="Arial" w:cs="Arial"/>
        </w:rPr>
      </w:pPr>
    </w:p>
    <w:p w:rsidR="00F6016E" w:rsidRPr="00F6016E" w:rsidRDefault="00F6016E" w:rsidP="00F6016E">
      <w:pPr>
        <w:spacing w:after="0" w:line="360" w:lineRule="auto"/>
        <w:jc w:val="both"/>
        <w:rPr>
          <w:rFonts w:ascii="Arial" w:hAnsi="Arial" w:cs="Arial"/>
        </w:rPr>
      </w:pPr>
      <w:r w:rsidRPr="00F6016E">
        <w:rPr>
          <w:rFonts w:ascii="Arial" w:hAnsi="Arial" w:cs="Arial"/>
        </w:rPr>
        <w:t xml:space="preserve">Von Bredow empfahl, dies zu beachten und bei Fragen zum Arbeitsrecht Rechtsrat in Anspruch zu nehmen, wobei er u. a. auch auf den VDAA Verband deutscher </w:t>
      </w:r>
      <w:proofErr w:type="spellStart"/>
      <w:r w:rsidRPr="00F6016E">
        <w:rPr>
          <w:rFonts w:ascii="Arial" w:hAnsi="Arial" w:cs="Arial"/>
        </w:rPr>
        <w:t>ArbeitsrechtsAnwälte</w:t>
      </w:r>
      <w:proofErr w:type="spellEnd"/>
      <w:r w:rsidRPr="00F6016E">
        <w:rPr>
          <w:rFonts w:ascii="Arial" w:hAnsi="Arial" w:cs="Arial"/>
        </w:rPr>
        <w:t xml:space="preserve"> e. V. – www.vdaa.de – verwies.</w:t>
      </w:r>
    </w:p>
    <w:p w:rsidR="00F6016E" w:rsidRDefault="00F6016E" w:rsidP="00F6016E">
      <w:pPr>
        <w:spacing w:after="0" w:line="360" w:lineRule="auto"/>
        <w:jc w:val="both"/>
        <w:rPr>
          <w:rFonts w:ascii="Arial" w:hAnsi="Arial" w:cs="Arial"/>
        </w:rPr>
      </w:pPr>
    </w:p>
    <w:p w:rsidR="00F6016E" w:rsidRDefault="00F6016E" w:rsidP="00F6016E">
      <w:pPr>
        <w:spacing w:after="0" w:line="360" w:lineRule="auto"/>
        <w:jc w:val="both"/>
        <w:rPr>
          <w:rFonts w:ascii="Arial" w:hAnsi="Arial" w:cs="Arial"/>
        </w:rPr>
      </w:pPr>
    </w:p>
    <w:p w:rsidR="00F6016E" w:rsidRPr="00F743BD" w:rsidRDefault="00F6016E" w:rsidP="00F6016E">
      <w:pPr>
        <w:spacing w:after="0" w:line="240" w:lineRule="auto"/>
        <w:rPr>
          <w:rFonts w:ascii="Arial" w:eastAsia="Times New Roman" w:hAnsi="Arial" w:cs="Arial"/>
          <w:sz w:val="20"/>
        </w:rPr>
      </w:pPr>
      <w:r w:rsidRPr="00F743BD">
        <w:rPr>
          <w:rFonts w:ascii="Arial" w:eastAsia="Times New Roman" w:hAnsi="Arial" w:cs="Arial"/>
          <w:sz w:val="20"/>
        </w:rPr>
        <w:t xml:space="preserve">Der Autor ist Vizepräsident des VDAA Verband deutscher Arbeitsrechtsanwälte e. V. </w:t>
      </w:r>
    </w:p>
    <w:p w:rsidR="00F6016E" w:rsidRPr="00F743BD" w:rsidRDefault="00F6016E" w:rsidP="00F6016E">
      <w:pPr>
        <w:tabs>
          <w:tab w:val="left" w:pos="2925"/>
        </w:tabs>
        <w:spacing w:after="0" w:line="240" w:lineRule="auto"/>
        <w:rPr>
          <w:rFonts w:ascii="Arial" w:eastAsia="Times New Roman" w:hAnsi="Arial" w:cs="Arial"/>
          <w:sz w:val="20"/>
        </w:rPr>
      </w:pPr>
      <w:r>
        <w:rPr>
          <w:rFonts w:ascii="Arial" w:eastAsia="Times New Roman" w:hAnsi="Arial" w:cs="Arial"/>
          <w:sz w:val="20"/>
        </w:rPr>
        <w:tab/>
      </w:r>
    </w:p>
    <w:p w:rsidR="00F6016E" w:rsidRPr="00F743BD" w:rsidRDefault="00F6016E" w:rsidP="00F6016E">
      <w:pPr>
        <w:spacing w:after="0" w:line="240" w:lineRule="auto"/>
        <w:rPr>
          <w:rFonts w:ascii="Arial" w:eastAsia="Times New Roman" w:hAnsi="Arial" w:cs="Arial"/>
          <w:sz w:val="20"/>
        </w:rPr>
      </w:pPr>
      <w:r w:rsidRPr="00F743BD">
        <w:rPr>
          <w:rFonts w:ascii="Arial" w:eastAsia="Times New Roman" w:hAnsi="Arial" w:cs="Arial"/>
          <w:sz w:val="20"/>
        </w:rPr>
        <w:t xml:space="preserve">Für Rückfragen steht Ihnen der Autor gerne zur Verfügung. </w:t>
      </w:r>
    </w:p>
    <w:p w:rsidR="00F6016E" w:rsidRDefault="00F6016E" w:rsidP="00F6016E">
      <w:pPr>
        <w:spacing w:after="0" w:line="240" w:lineRule="auto"/>
        <w:rPr>
          <w:rFonts w:ascii="Arial" w:hAnsi="Arial" w:cs="Arial"/>
        </w:rPr>
      </w:pPr>
    </w:p>
    <w:p w:rsidR="00F6016E" w:rsidRPr="00F6016E" w:rsidRDefault="00F6016E" w:rsidP="00F6016E">
      <w:pPr>
        <w:spacing w:after="0" w:line="240" w:lineRule="auto"/>
        <w:rPr>
          <w:rFonts w:ascii="Arial" w:hAnsi="Arial" w:cs="Arial"/>
          <w:sz w:val="20"/>
        </w:rPr>
      </w:pPr>
      <w:proofErr w:type="spellStart"/>
      <w:r w:rsidRPr="00F6016E">
        <w:rPr>
          <w:rFonts w:ascii="Arial" w:hAnsi="Arial" w:cs="Arial"/>
          <w:sz w:val="20"/>
        </w:rPr>
        <w:t>Frhr</w:t>
      </w:r>
      <w:proofErr w:type="spellEnd"/>
      <w:r w:rsidRPr="00F6016E">
        <w:rPr>
          <w:rFonts w:ascii="Arial" w:hAnsi="Arial" w:cs="Arial"/>
          <w:sz w:val="20"/>
        </w:rPr>
        <w:t xml:space="preserve">. </w:t>
      </w:r>
      <w:proofErr w:type="spellStart"/>
      <w:r w:rsidRPr="00F6016E">
        <w:rPr>
          <w:rFonts w:ascii="Arial" w:hAnsi="Arial" w:cs="Arial"/>
          <w:sz w:val="20"/>
        </w:rPr>
        <w:t>Fenimore</w:t>
      </w:r>
      <w:proofErr w:type="spellEnd"/>
      <w:r w:rsidRPr="00F6016E">
        <w:rPr>
          <w:rFonts w:ascii="Arial" w:hAnsi="Arial" w:cs="Arial"/>
          <w:sz w:val="20"/>
        </w:rPr>
        <w:t xml:space="preserve"> von Bredow</w:t>
      </w:r>
    </w:p>
    <w:p w:rsidR="00F6016E" w:rsidRPr="00F6016E" w:rsidRDefault="00F6016E" w:rsidP="00F6016E">
      <w:pPr>
        <w:spacing w:after="0" w:line="240" w:lineRule="auto"/>
        <w:rPr>
          <w:rFonts w:ascii="Arial" w:hAnsi="Arial" w:cs="Arial"/>
          <w:sz w:val="20"/>
        </w:rPr>
      </w:pPr>
      <w:r w:rsidRPr="00F6016E">
        <w:rPr>
          <w:rFonts w:ascii="Arial" w:hAnsi="Arial" w:cs="Arial"/>
          <w:sz w:val="20"/>
        </w:rPr>
        <w:t>Rechtsanwalt/Fachanwalt für Arbeitsrecht</w:t>
      </w:r>
    </w:p>
    <w:p w:rsidR="00F6016E" w:rsidRPr="00F6016E" w:rsidRDefault="00F6016E" w:rsidP="00F6016E">
      <w:pPr>
        <w:spacing w:after="0" w:line="240" w:lineRule="auto"/>
        <w:rPr>
          <w:rFonts w:ascii="Arial" w:hAnsi="Arial" w:cs="Arial"/>
          <w:sz w:val="20"/>
        </w:rPr>
      </w:pPr>
      <w:r w:rsidRPr="00F6016E">
        <w:rPr>
          <w:rFonts w:ascii="Arial" w:hAnsi="Arial" w:cs="Arial"/>
          <w:sz w:val="20"/>
        </w:rPr>
        <w:t>VDAA-Vizepräsident</w:t>
      </w:r>
    </w:p>
    <w:p w:rsidR="00F6016E" w:rsidRPr="00F6016E" w:rsidRDefault="00F6016E" w:rsidP="00F6016E">
      <w:pPr>
        <w:spacing w:after="0" w:line="240" w:lineRule="auto"/>
        <w:rPr>
          <w:rFonts w:ascii="Arial" w:hAnsi="Arial" w:cs="Arial"/>
          <w:sz w:val="20"/>
        </w:rPr>
      </w:pPr>
      <w:proofErr w:type="spellStart"/>
      <w:r w:rsidRPr="00F6016E">
        <w:rPr>
          <w:rFonts w:ascii="Arial" w:hAnsi="Arial" w:cs="Arial"/>
          <w:sz w:val="20"/>
        </w:rPr>
        <w:t>Domernicht</w:t>
      </w:r>
      <w:proofErr w:type="spellEnd"/>
      <w:r w:rsidRPr="00F6016E">
        <w:rPr>
          <w:rFonts w:ascii="Arial" w:hAnsi="Arial" w:cs="Arial"/>
          <w:sz w:val="20"/>
        </w:rPr>
        <w:t xml:space="preserve"> v. Bredow Wölke</w:t>
      </w:r>
    </w:p>
    <w:p w:rsidR="00F6016E" w:rsidRPr="00F6016E" w:rsidRDefault="00F6016E" w:rsidP="00F6016E">
      <w:pPr>
        <w:spacing w:after="0" w:line="240" w:lineRule="auto"/>
        <w:rPr>
          <w:rFonts w:ascii="Arial" w:hAnsi="Arial" w:cs="Arial"/>
          <w:sz w:val="20"/>
        </w:rPr>
      </w:pPr>
      <w:r w:rsidRPr="00F6016E">
        <w:rPr>
          <w:rFonts w:ascii="Arial" w:hAnsi="Arial" w:cs="Arial"/>
          <w:sz w:val="20"/>
        </w:rPr>
        <w:t>Bismarckstraße 34</w:t>
      </w:r>
    </w:p>
    <w:p w:rsidR="00F6016E" w:rsidRPr="00F6016E" w:rsidRDefault="00F6016E" w:rsidP="00F6016E">
      <w:pPr>
        <w:spacing w:after="0" w:line="240" w:lineRule="auto"/>
        <w:rPr>
          <w:rFonts w:ascii="Arial" w:hAnsi="Arial" w:cs="Arial"/>
          <w:sz w:val="20"/>
        </w:rPr>
      </w:pPr>
      <w:r w:rsidRPr="00F6016E">
        <w:rPr>
          <w:rFonts w:ascii="Arial" w:hAnsi="Arial" w:cs="Arial"/>
          <w:sz w:val="20"/>
        </w:rPr>
        <w:t>50672 Köln</w:t>
      </w:r>
    </w:p>
    <w:p w:rsidR="00F6016E" w:rsidRPr="00F6016E" w:rsidRDefault="00F6016E" w:rsidP="00F6016E">
      <w:pPr>
        <w:spacing w:after="0" w:line="240" w:lineRule="auto"/>
        <w:rPr>
          <w:rFonts w:ascii="Arial" w:hAnsi="Arial" w:cs="Arial"/>
          <w:sz w:val="20"/>
        </w:rPr>
      </w:pPr>
      <w:r w:rsidRPr="00F6016E">
        <w:rPr>
          <w:rFonts w:ascii="Arial" w:hAnsi="Arial" w:cs="Arial"/>
          <w:sz w:val="20"/>
        </w:rPr>
        <w:t>Telefon: 0221/283040</w:t>
      </w:r>
      <w:r w:rsidRPr="00F6016E">
        <w:rPr>
          <w:rFonts w:ascii="Arial" w:hAnsi="Arial" w:cs="Arial"/>
          <w:sz w:val="20"/>
        </w:rPr>
        <w:tab/>
        <w:t>Telefax: 0221/2830416</w:t>
      </w:r>
    </w:p>
    <w:p w:rsidR="00F6016E" w:rsidRPr="00F6016E" w:rsidRDefault="00F6016E" w:rsidP="00F6016E">
      <w:pPr>
        <w:spacing w:after="0" w:line="240" w:lineRule="auto"/>
        <w:rPr>
          <w:rFonts w:ascii="Arial" w:hAnsi="Arial" w:cs="Arial"/>
          <w:sz w:val="20"/>
        </w:rPr>
      </w:pPr>
      <w:r w:rsidRPr="00F6016E">
        <w:rPr>
          <w:rFonts w:ascii="Arial" w:hAnsi="Arial" w:cs="Arial"/>
          <w:sz w:val="20"/>
        </w:rPr>
        <w:t xml:space="preserve">Email: </w:t>
      </w:r>
      <w:hyperlink r:id="rId6" w:history="1">
        <w:r w:rsidRPr="00F6016E">
          <w:rPr>
            <w:rStyle w:val="Hyperlink"/>
            <w:rFonts w:ascii="Arial" w:hAnsi="Arial" w:cs="Arial"/>
            <w:sz w:val="20"/>
          </w:rPr>
          <w:t>v.bredow@dvbw-legal.de</w:t>
        </w:r>
      </w:hyperlink>
      <w:r w:rsidRPr="00F6016E">
        <w:rPr>
          <w:rFonts w:ascii="Arial" w:hAnsi="Arial" w:cs="Arial"/>
          <w:sz w:val="20"/>
        </w:rPr>
        <w:tab/>
      </w:r>
      <w:hyperlink r:id="rId7" w:history="1">
        <w:r w:rsidRPr="00F6016E">
          <w:rPr>
            <w:rStyle w:val="Hyperlink"/>
            <w:rFonts w:ascii="Arial" w:hAnsi="Arial" w:cs="Arial"/>
            <w:sz w:val="20"/>
          </w:rPr>
          <w:t>www.dvbw-legal.de</w:t>
        </w:r>
      </w:hyperlink>
    </w:p>
    <w:p w:rsidR="00F6016E" w:rsidRPr="00F6016E" w:rsidRDefault="00F6016E" w:rsidP="00F6016E">
      <w:pPr>
        <w:spacing w:after="0" w:line="360" w:lineRule="auto"/>
        <w:rPr>
          <w:rFonts w:ascii="Arial" w:hAnsi="Arial" w:cs="Arial"/>
        </w:rPr>
      </w:pPr>
    </w:p>
    <w:sectPr w:rsidR="00F6016E" w:rsidRPr="00F6016E">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16E" w:rsidRDefault="00F6016E" w:rsidP="00F6016E">
      <w:pPr>
        <w:spacing w:after="0" w:line="240" w:lineRule="auto"/>
      </w:pPr>
      <w:r>
        <w:separator/>
      </w:r>
    </w:p>
  </w:endnote>
  <w:endnote w:type="continuationSeparator" w:id="0">
    <w:p w:rsidR="00F6016E" w:rsidRDefault="00F6016E" w:rsidP="00F60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16E" w:rsidRDefault="00F6016E" w:rsidP="00F6016E">
      <w:pPr>
        <w:spacing w:after="0" w:line="240" w:lineRule="auto"/>
      </w:pPr>
      <w:r>
        <w:separator/>
      </w:r>
    </w:p>
  </w:footnote>
  <w:footnote w:type="continuationSeparator" w:id="0">
    <w:p w:rsidR="00F6016E" w:rsidRDefault="00F6016E" w:rsidP="00F601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B3E" w:rsidRPr="001B047C" w:rsidRDefault="00490B3E" w:rsidP="00490B3E">
    <w:pPr>
      <w:tabs>
        <w:tab w:val="center" w:pos="4535"/>
        <w:tab w:val="right" w:pos="9071"/>
      </w:tabs>
      <w:spacing w:after="0" w:line="240" w:lineRule="auto"/>
      <w:jc w:val="center"/>
      <w:rPr>
        <w:rFonts w:ascii="Arial" w:hAnsi="Arial" w:cs="Arial"/>
        <w:b/>
        <w:bCs/>
        <w:sz w:val="28"/>
        <w:szCs w:val="28"/>
      </w:rPr>
    </w:pPr>
    <w:r w:rsidRPr="001B047C">
      <w:rPr>
        <w:rFonts w:ascii="Arial" w:hAnsi="Arial" w:cs="Arial"/>
        <w:b/>
        <w:bCs/>
        <w:sz w:val="28"/>
        <w:szCs w:val="28"/>
      </w:rPr>
      <w:t xml:space="preserve">VDAA-Arbeitsrechtsdepesche </w:t>
    </w:r>
    <w:r>
      <w:rPr>
        <w:rFonts w:ascii="Arial" w:hAnsi="Arial" w:cs="Arial"/>
        <w:b/>
        <w:bCs/>
        <w:sz w:val="28"/>
        <w:szCs w:val="28"/>
      </w:rPr>
      <w:t>1</w:t>
    </w:r>
    <w:r w:rsidRPr="001B047C">
      <w:rPr>
        <w:rFonts w:ascii="Arial" w:hAnsi="Arial" w:cs="Arial"/>
        <w:b/>
        <w:bCs/>
        <w:sz w:val="28"/>
        <w:szCs w:val="28"/>
      </w:rPr>
      <w:t>0-2020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16E"/>
    <w:rsid w:val="001B21BD"/>
    <w:rsid w:val="00490B3E"/>
    <w:rsid w:val="00F0580C"/>
    <w:rsid w:val="00F601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D8DF1-A15E-48D2-8A4F-987FF464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6016E"/>
    <w:rPr>
      <w:color w:val="0563C1" w:themeColor="hyperlink"/>
      <w:u w:val="single"/>
    </w:rPr>
  </w:style>
  <w:style w:type="paragraph" w:styleId="Kopfzeile">
    <w:name w:val="header"/>
    <w:basedOn w:val="Standard"/>
    <w:link w:val="KopfzeileZchn"/>
    <w:uiPriority w:val="99"/>
    <w:unhideWhenUsed/>
    <w:rsid w:val="00F601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016E"/>
  </w:style>
  <w:style w:type="paragraph" w:styleId="Fuzeile">
    <w:name w:val="footer"/>
    <w:basedOn w:val="Standard"/>
    <w:link w:val="FuzeileZchn"/>
    <w:uiPriority w:val="99"/>
    <w:unhideWhenUsed/>
    <w:rsid w:val="00F601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0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693211">
      <w:bodyDiv w:val="1"/>
      <w:marLeft w:val="0"/>
      <w:marRight w:val="0"/>
      <w:marTop w:val="0"/>
      <w:marBottom w:val="0"/>
      <w:divBdr>
        <w:top w:val="none" w:sz="0" w:space="0" w:color="auto"/>
        <w:left w:val="none" w:sz="0" w:space="0" w:color="auto"/>
        <w:bottom w:val="none" w:sz="0" w:space="0" w:color="auto"/>
        <w:right w:val="none" w:sz="0" w:space="0" w:color="auto"/>
      </w:divBdr>
      <w:divsChild>
        <w:div w:id="1621452047">
          <w:marLeft w:val="0"/>
          <w:marRight w:val="0"/>
          <w:marTop w:val="0"/>
          <w:marBottom w:val="0"/>
          <w:divBdr>
            <w:top w:val="none" w:sz="0" w:space="0" w:color="auto"/>
            <w:left w:val="none" w:sz="0" w:space="0" w:color="auto"/>
            <w:bottom w:val="none" w:sz="0" w:space="0" w:color="auto"/>
            <w:right w:val="none" w:sz="0" w:space="0" w:color="auto"/>
          </w:divBdr>
          <w:divsChild>
            <w:div w:id="179779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vbw-legal.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bredow@dvbw-legal.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3872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Michelle Hawkins</cp:lastModifiedBy>
  <cp:revision>2</cp:revision>
  <dcterms:created xsi:type="dcterms:W3CDTF">2020-11-02T12:07:00Z</dcterms:created>
  <dcterms:modified xsi:type="dcterms:W3CDTF">2020-11-05T10:42:00Z</dcterms:modified>
</cp:coreProperties>
</file>