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6DF" w:rsidRPr="00927C51" w:rsidRDefault="009A56DF" w:rsidP="009A56DF">
      <w:pPr>
        <w:jc w:val="right"/>
        <w:rPr>
          <w:rFonts w:ascii="Arial" w:hAnsi="Arial" w:cs="Arial"/>
        </w:rPr>
      </w:pPr>
      <w:bookmarkStart w:id="0" w:name="_Hlk22231110"/>
      <w:r w:rsidRPr="00927C51">
        <w:rPr>
          <w:rFonts w:ascii="Arial" w:eastAsia="Times New Roman" w:hAnsi="Arial" w:cs="Arial"/>
          <w:noProof/>
          <w:sz w:val="24"/>
          <w:szCs w:val="24"/>
          <w:lang w:eastAsia="de-DE"/>
        </w:rPr>
        <w:drawing>
          <wp:inline distT="0" distB="0" distL="0" distR="0" wp14:anchorId="3FFA990E" wp14:editId="0BCE90FF">
            <wp:extent cx="1314450" cy="552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0"/>
    </w:p>
    <w:p w:rsidR="009A56DF" w:rsidRDefault="009A56DF" w:rsidP="00AC6C35">
      <w:pPr>
        <w:tabs>
          <w:tab w:val="center" w:pos="4536"/>
          <w:tab w:val="right" w:pos="9072"/>
        </w:tabs>
        <w:jc w:val="center"/>
        <w:rPr>
          <w:rFonts w:ascii="Arial" w:hAnsi="Arial" w:cs="Arial"/>
          <w:b/>
          <w:bCs/>
          <w:sz w:val="20"/>
          <w:szCs w:val="20"/>
        </w:rPr>
      </w:pPr>
      <w:r w:rsidRPr="007E4D43">
        <w:rPr>
          <w:rFonts w:ascii="Arial" w:hAnsi="Arial" w:cs="Arial"/>
          <w:b/>
          <w:bCs/>
          <w:sz w:val="20"/>
          <w:szCs w:val="20"/>
        </w:rPr>
        <w:t xml:space="preserve">Urteile, die </w:t>
      </w:r>
      <w:r w:rsidR="00891FB9">
        <w:rPr>
          <w:rFonts w:ascii="Arial" w:hAnsi="Arial" w:cs="Arial"/>
          <w:b/>
          <w:bCs/>
          <w:sz w:val="20"/>
          <w:szCs w:val="20"/>
        </w:rPr>
        <w:t xml:space="preserve">Ihre Leser </w:t>
      </w:r>
      <w:r w:rsidRPr="007E4D43">
        <w:rPr>
          <w:rFonts w:ascii="Arial" w:hAnsi="Arial" w:cs="Arial"/>
          <w:b/>
          <w:bCs/>
          <w:sz w:val="20"/>
          <w:szCs w:val="20"/>
        </w:rPr>
        <w:t>interessieren könnten</w:t>
      </w:r>
    </w:p>
    <w:p w:rsidR="00AC6C35" w:rsidRPr="007E4D43" w:rsidRDefault="00AC6C35" w:rsidP="00AC6C35">
      <w:pPr>
        <w:tabs>
          <w:tab w:val="center" w:pos="4536"/>
          <w:tab w:val="right" w:pos="9072"/>
        </w:tabs>
        <w:jc w:val="center"/>
        <w:rPr>
          <w:rFonts w:ascii="Arial" w:hAnsi="Arial" w:cs="Arial"/>
          <w:b/>
          <w:bCs/>
          <w:sz w:val="20"/>
          <w:szCs w:val="20"/>
        </w:rPr>
      </w:pPr>
    </w:p>
    <w:p w:rsidR="009A56DF" w:rsidRPr="007E4D43" w:rsidRDefault="009A56DF" w:rsidP="007E4D43">
      <w:pPr>
        <w:tabs>
          <w:tab w:val="center" w:pos="4536"/>
          <w:tab w:val="right" w:pos="9072"/>
        </w:tabs>
        <w:jc w:val="both"/>
        <w:rPr>
          <w:rFonts w:ascii="Arial" w:eastAsia="ヒラギノ角ゴ Pro W3" w:hAnsi="Arial" w:cs="Arial"/>
          <w:b/>
          <w:bCs/>
          <w:sz w:val="20"/>
          <w:szCs w:val="20"/>
        </w:rPr>
      </w:pPr>
    </w:p>
    <w:p w:rsidR="009A56DF" w:rsidRPr="007E4D43" w:rsidRDefault="009A56DF" w:rsidP="007E4D43">
      <w:pPr>
        <w:jc w:val="both"/>
        <w:rPr>
          <w:rFonts w:ascii="Arial" w:hAnsi="Arial" w:cs="Arial"/>
          <w:sz w:val="20"/>
          <w:szCs w:val="20"/>
        </w:rPr>
      </w:pPr>
      <w:r w:rsidRPr="007E4D43">
        <w:rPr>
          <w:rFonts w:ascii="Arial" w:hAnsi="Arial" w:cs="Arial"/>
          <w:sz w:val="20"/>
          <w:szCs w:val="20"/>
        </w:rPr>
        <w:t>zusammengestellt von Rechtsanwalt/Fachanwalt für Arbeitsrecht u. Fachanwalt für Erbrecht</w:t>
      </w:r>
    </w:p>
    <w:p w:rsidR="009A56DF" w:rsidRDefault="009A56DF" w:rsidP="00AC6C35">
      <w:pPr>
        <w:jc w:val="center"/>
        <w:rPr>
          <w:rFonts w:ascii="Arial" w:hAnsi="Arial" w:cs="Arial"/>
          <w:sz w:val="20"/>
          <w:szCs w:val="20"/>
        </w:rPr>
      </w:pPr>
      <w:r w:rsidRPr="007E4D43">
        <w:rPr>
          <w:rFonts w:ascii="Arial" w:hAnsi="Arial" w:cs="Arial"/>
          <w:sz w:val="20"/>
          <w:szCs w:val="20"/>
        </w:rPr>
        <w:t>Michael Henn, Stuttgart</w:t>
      </w:r>
    </w:p>
    <w:p w:rsidR="00AC6C35" w:rsidRPr="007E4D43" w:rsidRDefault="00AC6C35" w:rsidP="00AC6C35">
      <w:pPr>
        <w:jc w:val="center"/>
        <w:rPr>
          <w:rFonts w:ascii="Arial" w:hAnsi="Arial" w:cs="Arial"/>
          <w:sz w:val="20"/>
          <w:szCs w:val="20"/>
        </w:rPr>
      </w:pPr>
    </w:p>
    <w:p w:rsidR="00281C35" w:rsidRPr="002201C4" w:rsidRDefault="00281C35" w:rsidP="002201C4">
      <w:pPr>
        <w:keepNext/>
        <w:jc w:val="center"/>
        <w:rPr>
          <w:rFonts w:ascii="Arial" w:hAnsi="Arial" w:cs="Arial"/>
          <w:b/>
          <w:sz w:val="20"/>
          <w:szCs w:val="20"/>
        </w:rPr>
      </w:pPr>
      <w:r w:rsidRPr="002201C4">
        <w:rPr>
          <w:rFonts w:ascii="Arial" w:hAnsi="Arial" w:cs="Arial"/>
          <w:b/>
          <w:sz w:val="20"/>
          <w:szCs w:val="20"/>
        </w:rPr>
        <w:t>I.</w:t>
      </w:r>
    </w:p>
    <w:p w:rsidR="003D4C05" w:rsidRDefault="00281C35" w:rsidP="00AC6C35">
      <w:pPr>
        <w:jc w:val="center"/>
        <w:rPr>
          <w:rFonts w:ascii="Arial" w:hAnsi="Arial" w:cs="Arial"/>
          <w:b/>
          <w:bCs/>
          <w:color w:val="002060"/>
          <w:sz w:val="20"/>
          <w:szCs w:val="20"/>
        </w:rPr>
      </w:pPr>
      <w:r w:rsidRPr="007E4D43">
        <w:rPr>
          <w:rFonts w:ascii="Arial" w:hAnsi="Arial" w:cs="Arial"/>
          <w:b/>
          <w:bCs/>
          <w:color w:val="002060"/>
          <w:sz w:val="20"/>
          <w:szCs w:val="20"/>
        </w:rPr>
        <w:t>Bundesarbeitsgericht</w:t>
      </w:r>
    </w:p>
    <w:p w:rsidR="00281C35" w:rsidRPr="002201C4" w:rsidRDefault="00281C35" w:rsidP="00AC6C35">
      <w:pPr>
        <w:jc w:val="center"/>
        <w:rPr>
          <w:rFonts w:ascii="Arial" w:hAnsi="Arial" w:cs="Arial"/>
          <w:bCs/>
          <w:color w:val="002060"/>
          <w:sz w:val="20"/>
          <w:szCs w:val="20"/>
        </w:rPr>
      </w:pPr>
      <w:r w:rsidRPr="002201C4">
        <w:rPr>
          <w:rFonts w:ascii="Arial" w:hAnsi="Arial" w:cs="Arial"/>
          <w:bCs/>
          <w:color w:val="002060"/>
          <w:sz w:val="20"/>
          <w:szCs w:val="20"/>
        </w:rPr>
        <w:t>Urteil vom 10. Oktober 2023 – 3 AZR 250/22</w:t>
      </w:r>
    </w:p>
    <w:p w:rsidR="00AC6C35" w:rsidRPr="002201C4" w:rsidRDefault="00AC6C35" w:rsidP="00AC6C35">
      <w:pPr>
        <w:jc w:val="center"/>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Schlagworte/Normen:</w:t>
      </w:r>
    </w:p>
    <w:p w:rsidR="00AC6C35" w:rsidRPr="007E4D43" w:rsidRDefault="00AC6C35"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rPr>
      </w:pPr>
      <w:r w:rsidRPr="007E4D43">
        <w:rPr>
          <w:rFonts w:ascii="Arial" w:hAnsi="Arial" w:cs="Arial"/>
          <w:b/>
          <w:bCs/>
          <w:color w:val="002060"/>
          <w:sz w:val="20"/>
          <w:szCs w:val="20"/>
        </w:rPr>
        <w:t>Betriebliche Invaliditätsrente und Beendigung des Arbeitsverhältnisses</w:t>
      </w:r>
    </w:p>
    <w:p w:rsidR="003D4C05" w:rsidRPr="007E4D43" w:rsidRDefault="003D4C05"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u w:val="single"/>
        </w:rPr>
        <w:t xml:space="preserve">Volltext PE: </w:t>
      </w:r>
    </w:p>
    <w:p w:rsidR="003D4C05" w:rsidRPr="007E4D43" w:rsidRDefault="003D4C05" w:rsidP="007E4D43">
      <w:pPr>
        <w:jc w:val="both"/>
        <w:rPr>
          <w:rFonts w:ascii="Arial" w:hAnsi="Arial" w:cs="Arial"/>
          <w:sz w:val="20"/>
          <w:szCs w:val="20"/>
        </w:rPr>
      </w:pPr>
    </w:p>
    <w:p w:rsidR="00281C35" w:rsidRPr="007E4D43" w:rsidRDefault="00281C35" w:rsidP="007E4D43">
      <w:pPr>
        <w:jc w:val="both"/>
        <w:rPr>
          <w:rFonts w:ascii="Arial" w:hAnsi="Arial" w:cs="Arial"/>
          <w:sz w:val="20"/>
          <w:szCs w:val="20"/>
        </w:rPr>
      </w:pPr>
      <w:r w:rsidRPr="007E4D43">
        <w:rPr>
          <w:rFonts w:ascii="Arial" w:hAnsi="Arial" w:cs="Arial"/>
          <w:b/>
          <w:bCs/>
          <w:color w:val="002060"/>
          <w:sz w:val="20"/>
          <w:szCs w:val="20"/>
        </w:rPr>
        <w:t> </w:t>
      </w:r>
      <w:r w:rsidRPr="007E4D43">
        <w:rPr>
          <w:rFonts w:ascii="Arial" w:hAnsi="Arial" w:cs="Arial"/>
          <w:color w:val="002060"/>
          <w:sz w:val="20"/>
          <w:szCs w:val="20"/>
        </w:rPr>
        <w:t>Der eine betriebliche Invaliditätsrente zusagende Arbeitgeber darf die Leistung in einer Versorgungsordnung, die für eine Vielzahl vorformulierte Vertragsbedingungen (AGB) enthält, grundsätzlich davon abhängig machen, dass der Arbeitnehmer eine gesetzliche Erwerbsminderungsrente bezieht und rechtlich aus dem Arbeitsverhältnis ausgeschieden ist.</w:t>
      </w: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Nach § 7 Abs. 4 der Zusatzversorgungsordnung der Arbeitgeberin (§ 7 Abs. 4 ZVO) erhält ein Mitarbeiter Ruhegeld, der wegen Berufs- oder Erwerbsunfähigkeit eine Rente aus der gesetzlichen Rentenversicherung bezieht und aus den Diensten des Arbeitgebers ausscheidet. Aufgrund Bescheids der Deutschen Rentenversicherung Bund vom Januar 2021 bezog der Kläger auf seinen Antrag vom Mai 2020 mit Wirkung des 1. November 2020 befristet bis zum 31. August 2022 Rente wegen voller Erwerbsminderung. Mit Schreiben vom 19. Januar 2021 wandte er sich unter Vorlage des Bescheids an die Beklagte und beantragte die Gewährung der betrieblichen Invaliditätsrente ab Januar 2021. Am 20. August 2021 kündigte er sein Arbeitsverhältnis zum 31. März 2022. Ab April 2022 leistete die Beklagte das Ruhegeld. Der Kläger hat geltend gemacht, ihm stehe bereits ab Januar 2021 das betriebliche Ruhegeld zu. § 7 Abs. 4 ZVO setze nicht eindeutig das rechtliche Ausscheiden aus dem Arbeitsverhältnis voraus. Jedenfalls sei die Regelung unwirksam, da er unzumutbar gezwungen werde, sein Arbeitsverhältnis zu beenden, um in den Genuss des Ruhegelds zu kommen. Die Vorinstanzen haben die Klage abgewiesen.</w:t>
      </w: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xml:space="preserve"> Die Revision des Klägers vor dem Dritten Senat des Bundesarbeitsgerichts blieb erfolglos. </w:t>
      </w:r>
    </w:p>
    <w:p w:rsidR="00281C35" w:rsidRDefault="00281C35" w:rsidP="007E4D43">
      <w:pPr>
        <w:jc w:val="both"/>
        <w:rPr>
          <w:rFonts w:ascii="Arial" w:hAnsi="Arial" w:cs="Arial"/>
          <w:color w:val="002060"/>
          <w:sz w:val="20"/>
          <w:szCs w:val="20"/>
        </w:rPr>
      </w:pPr>
      <w:r w:rsidRPr="007E4D43">
        <w:rPr>
          <w:rFonts w:ascii="Arial" w:hAnsi="Arial" w:cs="Arial"/>
          <w:color w:val="002060"/>
          <w:sz w:val="20"/>
          <w:szCs w:val="20"/>
        </w:rPr>
        <w:t>Die Auslegung des § 7 Abs. 4 ZVO als AGB ergab, dass die ZVO das rechtliche Ausscheiden aus dem Arbeitsverhältnis für einen Anspruch auf das betriebliche Ruhegeld voraussetzt. Die der Inhaltskontrolle unterliegende Regelung benachteiligt den Kläger auch nicht unangemessen entgegen den Geboten von Treu und Glauben. Es ist im Grundsatz nicht unzumutbar, die Zahlung einer betrieblichen Invaliditätsrente davon abhängig zu machen, dass eine gesetzliche Erwerbsminderungsrente bewilligt und das Arbeitsverhältnis beendet ist. Unter Berücksichtigung der wechselseitigen Interessen wird dadurch kein unzumutbarer Druck auf den Arbeitnehmer zur Beendigung seines Arbeitsverhältnisses ausgeübt.</w:t>
      </w:r>
    </w:p>
    <w:p w:rsidR="003D4C05" w:rsidRPr="007E4D43" w:rsidRDefault="003D4C05"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Siehe:</w:t>
      </w:r>
    </w:p>
    <w:p w:rsidR="003D4C05" w:rsidRPr="007E4D43" w:rsidRDefault="003D4C05" w:rsidP="007E4D43">
      <w:pPr>
        <w:jc w:val="both"/>
        <w:rPr>
          <w:rFonts w:ascii="Arial" w:hAnsi="Arial" w:cs="Arial"/>
          <w:sz w:val="20"/>
          <w:szCs w:val="20"/>
        </w:rPr>
      </w:pPr>
    </w:p>
    <w:p w:rsidR="00281C35" w:rsidRPr="007E4D43" w:rsidRDefault="00281C35" w:rsidP="007E4D43">
      <w:pPr>
        <w:jc w:val="both"/>
        <w:rPr>
          <w:rFonts w:ascii="Arial" w:hAnsi="Arial" w:cs="Arial"/>
          <w:sz w:val="20"/>
          <w:szCs w:val="20"/>
        </w:rPr>
      </w:pPr>
      <w:r w:rsidRPr="007E4D43">
        <w:rPr>
          <w:rFonts w:ascii="Arial" w:hAnsi="Arial" w:cs="Arial"/>
          <w:b/>
          <w:bCs/>
          <w:color w:val="002060"/>
          <w:sz w:val="20"/>
          <w:szCs w:val="20"/>
        </w:rPr>
        <w:t> </w:t>
      </w:r>
      <w:hyperlink r:id="rId8" w:history="1">
        <w:r w:rsidRPr="007E4D43">
          <w:rPr>
            <w:rStyle w:val="Hyperlink"/>
            <w:rFonts w:ascii="Arial" w:hAnsi="Arial" w:cs="Arial"/>
            <w:sz w:val="20"/>
            <w:szCs w:val="20"/>
          </w:rPr>
          <w:t>https://www.bundesarbeitsgericht.de/presse/betriebliche-invaliditaetsrente-und-beendigung-des-arbeitsverhaeltnisses/</w:t>
        </w:r>
      </w:hyperlink>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p>
    <w:p w:rsidR="00281C35" w:rsidRPr="002201C4" w:rsidRDefault="00281C35" w:rsidP="002201C4">
      <w:pPr>
        <w:keepNext/>
        <w:jc w:val="center"/>
        <w:rPr>
          <w:rFonts w:ascii="Arial" w:hAnsi="Arial" w:cs="Arial"/>
          <w:b/>
          <w:sz w:val="20"/>
          <w:szCs w:val="20"/>
        </w:rPr>
      </w:pPr>
      <w:r w:rsidRPr="002201C4">
        <w:rPr>
          <w:rFonts w:ascii="Arial" w:hAnsi="Arial" w:cs="Arial"/>
          <w:b/>
          <w:sz w:val="20"/>
          <w:szCs w:val="20"/>
        </w:rPr>
        <w:t>II.</w:t>
      </w:r>
    </w:p>
    <w:p w:rsidR="002201C4" w:rsidRDefault="00281C35" w:rsidP="00AC6C35">
      <w:pPr>
        <w:jc w:val="center"/>
        <w:rPr>
          <w:rFonts w:ascii="Arial" w:hAnsi="Arial" w:cs="Arial"/>
          <w:b/>
          <w:bCs/>
          <w:color w:val="002060"/>
          <w:sz w:val="20"/>
          <w:szCs w:val="20"/>
        </w:rPr>
      </w:pPr>
      <w:r w:rsidRPr="007E4D43">
        <w:rPr>
          <w:rFonts w:ascii="Arial" w:hAnsi="Arial" w:cs="Arial"/>
          <w:b/>
          <w:bCs/>
          <w:color w:val="002060"/>
          <w:sz w:val="20"/>
          <w:szCs w:val="20"/>
        </w:rPr>
        <w:t>Bundesarbeitsgericht</w:t>
      </w:r>
    </w:p>
    <w:p w:rsidR="00281C35" w:rsidRPr="002201C4" w:rsidRDefault="00281C35" w:rsidP="00AC6C35">
      <w:pPr>
        <w:jc w:val="center"/>
        <w:rPr>
          <w:rFonts w:ascii="Arial" w:hAnsi="Arial" w:cs="Arial"/>
          <w:bCs/>
          <w:color w:val="002060"/>
          <w:sz w:val="20"/>
          <w:szCs w:val="20"/>
        </w:rPr>
      </w:pPr>
      <w:r w:rsidRPr="002201C4">
        <w:rPr>
          <w:rFonts w:ascii="Arial" w:hAnsi="Arial" w:cs="Arial"/>
          <w:bCs/>
          <w:color w:val="002060"/>
          <w:sz w:val="20"/>
          <w:szCs w:val="20"/>
        </w:rPr>
        <w:t>Urteil vom 18. Oktober 2023 – 5 AZR 22/23</w:t>
      </w:r>
    </w:p>
    <w:p w:rsidR="00AC6C35" w:rsidRPr="007E4D43" w:rsidRDefault="00AC6C35" w:rsidP="00AC6C35">
      <w:pPr>
        <w:jc w:val="center"/>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Schlagworte/Normen:</w:t>
      </w:r>
    </w:p>
    <w:p w:rsidR="00AC6C35" w:rsidRPr="007E4D43" w:rsidRDefault="00AC6C35"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rPr>
      </w:pPr>
      <w:r w:rsidRPr="007E4D43">
        <w:rPr>
          <w:rFonts w:ascii="Arial" w:hAnsi="Arial" w:cs="Arial"/>
          <w:b/>
          <w:bCs/>
          <w:color w:val="002060"/>
          <w:sz w:val="20"/>
          <w:szCs w:val="20"/>
        </w:rPr>
        <w:t> Arbeit auf Abruf - Dauer der wöchentlichen Arbeitszeit</w:t>
      </w:r>
    </w:p>
    <w:p w:rsidR="003D4C05" w:rsidRPr="007E4D43" w:rsidRDefault="003D4C05"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lastRenderedPageBreak/>
        <w:t> </w:t>
      </w:r>
      <w:r w:rsidRPr="007E4D43">
        <w:rPr>
          <w:rFonts w:ascii="Arial" w:hAnsi="Arial" w:cs="Arial"/>
          <w:b/>
          <w:bCs/>
          <w:color w:val="002060"/>
          <w:sz w:val="20"/>
          <w:szCs w:val="20"/>
          <w:u w:val="single"/>
        </w:rPr>
        <w:t xml:space="preserve">Volltext PE: </w:t>
      </w:r>
    </w:p>
    <w:p w:rsidR="003D4C05" w:rsidRPr="007E4D43" w:rsidRDefault="003D4C05" w:rsidP="007E4D43">
      <w:pPr>
        <w:jc w:val="both"/>
        <w:rPr>
          <w:rFonts w:ascii="Arial" w:hAnsi="Arial" w:cs="Arial"/>
          <w:sz w:val="20"/>
          <w:szCs w:val="20"/>
        </w:rPr>
      </w:pPr>
    </w:p>
    <w:p w:rsidR="00281C35" w:rsidRPr="007E4D43" w:rsidRDefault="00281C35" w:rsidP="007E4D43">
      <w:pPr>
        <w:jc w:val="both"/>
        <w:rPr>
          <w:rFonts w:ascii="Arial" w:hAnsi="Arial" w:cs="Arial"/>
          <w:sz w:val="20"/>
          <w:szCs w:val="20"/>
        </w:rPr>
      </w:pPr>
      <w:r w:rsidRPr="007E4D43">
        <w:rPr>
          <w:rFonts w:ascii="Arial" w:hAnsi="Arial" w:cs="Arial"/>
          <w:b/>
          <w:bCs/>
          <w:color w:val="002060"/>
          <w:sz w:val="20"/>
          <w:szCs w:val="20"/>
        </w:rPr>
        <w:t> </w:t>
      </w:r>
      <w:r w:rsidRPr="007E4D43">
        <w:rPr>
          <w:rFonts w:ascii="Arial" w:hAnsi="Arial" w:cs="Arial"/>
          <w:color w:val="002060"/>
          <w:sz w:val="20"/>
          <w:szCs w:val="20"/>
        </w:rPr>
        <w:t>Vereinbaren Arbeitgeber und Arbeitnehmer Arbeit auf Abruf, legen aber die Dauer der wöchentlichen Arbeitszeit nicht fest, gilt grundsätzlich nach § 12 Abs. 1 Satz 3 Teilzeit- und Befristungsgesetz (TzBfG) eine Arbeitszeit von 20 Stunden wöchentlich als vereinbart. Eine Abweichung davon kann im Wege der ergänzenden Vertragsauslegung nur dann angenommen werden, wenn die gesetzliche Regelung nicht sachgerecht ist und objektive Anhaltspunkte dafür vorliegen, die Parteien hätten bei Vertragsschluss übereinstimmend eine andere Dauer der wöchentlichen Arbeitszeit gewollt.</w:t>
      </w: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Die Klägerin ist seit dem Jahr 2009 bei der Beklagten, einem Unternehmen der Druckindustrie, als „Abrufkraft Helferin Einlage“ beschäftigt. Der von ihr mit einer Rechtsvorgängerin der Beklagten geschlossene Arbeitsvertrag enthält keine Regelung zur Dauer der wöchentlichen Arbeitszeit. Die Klägerin wurde – wie die übrigen auf Abruf beschäftigten Arbeitnehmerinnen – nach Bedarf in unterschiedlichem zeitlichen Umfang zur Arbeit herangezogen. Nachdem sich der Umfang des Abrufs ihrer Arbeitsleistung ab dem Jahr 2020 im Vergleich zu den unmittelbar vorangegangenen Jahren verringerte, hat die Klägerin sich darauf berufen, ihre Arbeitsleistung sei in den Jahren 2017 bis 2019 nach ihrer Berechnung von der Beklagten in einem zeitlichen Umfang von durchschnittlich 103,2 Stunden monatlich abgerufen worden. Sie hat gemeint, eine ergänzende Vertragsauslegung ergebe, dass dies die nunmehr geschuldete und von der Beklagten zu vergütende Arbeitszeit sei. Soweit der Abruf ihrer Arbeitsleistung in den Jahren 2020 und 2021 diesen Umfang nicht erreichte, hat sie Vergütung wegen Annahmeverzugs verlangt.</w:t>
      </w: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Das Arbeitsgericht hat, ausgehend von der gesetzlichen Regelung des § 12 Abs. 1 Satz 3 TzBfG angenommen, die Dauer der wöchentlichen Arbeitszeit im Abrufarbeitsverhältnis der Parteien betrage 20 Stunden. Es hat deshalb der Klage auf Zahlung von Annahmeverzugsvergütung nur in geringem Umfang insoweit stattgegeben, als in einzelnen Wochen der Abruf der Arbeitsleistung der Klägerin 20 Stunden unterschritten hatte. Das Landesarbeitsgericht hat die Berufung der Klägerin zurückgewiesen. Die Revision der Klägerin, mit der sie an ihren weitergehenden Anträgen festgehalten hat, blieb vor dem Fünften Senat des Bundesarbeitsgerichts erfolglos.</w:t>
      </w: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Vereinbaren Arbeitgeber und Arbeitnehmer, dass der Arbeitnehmer seine Arbeitsleistung entsprechend dem Arbeitsanfall zu erbringen hat (Arbeit auf Abruf), müssen sie nach § 12 Abs. 1 Satz 2 TzBfG arbeitsvertraglich eine bestimmte Dauer der wöchentlichen Arbeitszeit festlegen. Unterlassen sie das, schließt § 12 Abs. 1 Satz 3 TzBfG diese Reglungslücke, indem kraft Gesetzes eine Arbeitszeit von 20 Wochenstunden als vereinbart gilt. Eine davon abweichende Dauer der wöchentlichen Arbeitszeit kann im Wege der ergänzenden Vertragsauslegung nur dann angenommen werden, wenn die Fiktion des § 12 Abs. 1 Satz 3 TzBfG im betreffenden Arbeitsverhältnis keine sachgerechte Regelung ist und objektive Anhaltspunkte dafür vorliegen, Arbeitgeber und Arbeitnehmer hätten bei Vertragsschluss bei Kenntnis der Regelungslücke eine andere Bestimmung getroffen und eine höhere oder niedrigere Dauer der wöchentlichen Arbeitszeit vereinbart. Für eine solche Annahme hat die Klägerin jedoch keine Anhaltspunkte vorgetragen.</w:t>
      </w:r>
    </w:p>
    <w:p w:rsidR="00281C35" w:rsidRDefault="00281C35" w:rsidP="007E4D43">
      <w:pPr>
        <w:jc w:val="both"/>
        <w:rPr>
          <w:rFonts w:ascii="Arial" w:hAnsi="Arial" w:cs="Arial"/>
          <w:color w:val="002060"/>
          <w:sz w:val="20"/>
          <w:szCs w:val="20"/>
        </w:rPr>
      </w:pPr>
      <w:r w:rsidRPr="007E4D43">
        <w:rPr>
          <w:rFonts w:ascii="Arial" w:hAnsi="Arial" w:cs="Arial"/>
          <w:color w:val="002060"/>
          <w:sz w:val="20"/>
          <w:szCs w:val="20"/>
        </w:rPr>
        <w:t> Wird die anfängliche arbeitsvertragliche Lücke zur Dauer der wöchentlichen Arbeitszeit bei Beginn des Arbeitsverhältnisses durch die gesetzliche Fiktion des § 12 Abs. 1 Satz 3 TzBfG geschlossen, können die Parteien in der Folgezeit ausdrücklich oder konkludent eine andere Dauer der wöchentlichen Arbeitszeit vereinbaren. Dafür reicht aber das Abrufverhalten des Arbeitgebers in einem bestimmten, lange nach Beginn des Arbeitsverhältnisses liegenden und scheinbar willkürlich gegriffenen Zeitraum nicht aus. Allein dem Abrufverhalten des Arbeitgebers kommt ein rechtsgeschäftlicher Erklärungswert dahingehend, er wolle sich für alle Zukunft an eine von § 12 Abs. 1 Satz 3 TzBfG abweichende höhere Dauer der wöchentlichen Arbeitszeit binden, nicht zu. Ebenso wenig rechtfertigt allein die Bereitschaft des Arbeitnehmers, in einem bestimmten Zeitraum mehr als nach § 12 Abs. 1 Satz 3 TzBfG geschuldet zu arbeiten, die Annahme, der Arbeitnehmer wolle sich dauerhaft in einem höheren zeitlichen Umfang als gesetzlich vorgesehen binden.</w:t>
      </w:r>
    </w:p>
    <w:p w:rsidR="003D4C05" w:rsidRPr="007E4D43" w:rsidRDefault="003D4C05"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Siehe:</w:t>
      </w:r>
    </w:p>
    <w:p w:rsidR="003D4C05" w:rsidRPr="007E4D43" w:rsidRDefault="003D4C05" w:rsidP="007E4D43">
      <w:pPr>
        <w:jc w:val="both"/>
        <w:rPr>
          <w:rFonts w:ascii="Arial" w:hAnsi="Arial" w:cs="Arial"/>
          <w:sz w:val="20"/>
          <w:szCs w:val="20"/>
        </w:rPr>
      </w:pP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hyperlink r:id="rId9" w:history="1">
        <w:r w:rsidRPr="007E4D43">
          <w:rPr>
            <w:rStyle w:val="Hyperlink"/>
            <w:rFonts w:ascii="Arial" w:hAnsi="Arial" w:cs="Arial"/>
            <w:sz w:val="20"/>
            <w:szCs w:val="20"/>
          </w:rPr>
          <w:t>https://www.bundesarbeitsgericht.de/presse/arbeit-auf-abruf-dauer-der-woechentlichen-arbeitszeit/</w:t>
        </w:r>
      </w:hyperlink>
    </w:p>
    <w:p w:rsidR="002201C4" w:rsidRDefault="00281C35" w:rsidP="007E4D43">
      <w:pPr>
        <w:jc w:val="both"/>
        <w:rPr>
          <w:rFonts w:ascii="Arial" w:hAnsi="Arial" w:cs="Arial"/>
          <w:color w:val="002060"/>
          <w:sz w:val="20"/>
          <w:szCs w:val="20"/>
        </w:rPr>
      </w:pPr>
      <w:r w:rsidRPr="007E4D43">
        <w:rPr>
          <w:rFonts w:ascii="Arial" w:hAnsi="Arial" w:cs="Arial"/>
          <w:color w:val="002060"/>
          <w:sz w:val="20"/>
          <w:szCs w:val="20"/>
        </w:rPr>
        <w:t> </w:t>
      </w:r>
      <w:r w:rsidR="002201C4">
        <w:rPr>
          <w:rFonts w:ascii="Arial" w:hAnsi="Arial" w:cs="Arial"/>
          <w:color w:val="002060"/>
          <w:sz w:val="20"/>
          <w:szCs w:val="20"/>
        </w:rPr>
        <w:br w:type="page"/>
      </w:r>
    </w:p>
    <w:p w:rsidR="00281C35" w:rsidRPr="007E4D43" w:rsidRDefault="00281C35" w:rsidP="007E4D43">
      <w:pPr>
        <w:jc w:val="both"/>
        <w:rPr>
          <w:rFonts w:ascii="Arial" w:hAnsi="Arial" w:cs="Arial"/>
          <w:sz w:val="20"/>
          <w:szCs w:val="20"/>
        </w:rPr>
      </w:pPr>
    </w:p>
    <w:p w:rsidR="00281C35" w:rsidRPr="007E4D43" w:rsidRDefault="00281C35" w:rsidP="002201C4">
      <w:pPr>
        <w:keepNext/>
        <w:jc w:val="center"/>
        <w:rPr>
          <w:rFonts w:ascii="Arial" w:hAnsi="Arial" w:cs="Arial"/>
          <w:sz w:val="20"/>
          <w:szCs w:val="20"/>
        </w:rPr>
      </w:pPr>
      <w:r w:rsidRPr="007E4D43">
        <w:rPr>
          <w:rFonts w:ascii="Arial" w:hAnsi="Arial" w:cs="Arial"/>
          <w:sz w:val="20"/>
          <w:szCs w:val="20"/>
        </w:rPr>
        <w:t>III.</w:t>
      </w:r>
    </w:p>
    <w:p w:rsidR="00281C35" w:rsidRPr="007E4D43" w:rsidRDefault="00281C35" w:rsidP="00AC6C35">
      <w:pPr>
        <w:jc w:val="center"/>
        <w:rPr>
          <w:rFonts w:ascii="Arial" w:hAnsi="Arial" w:cs="Arial"/>
          <w:b/>
          <w:bCs/>
          <w:color w:val="002060"/>
          <w:sz w:val="20"/>
          <w:szCs w:val="20"/>
        </w:rPr>
      </w:pPr>
      <w:r w:rsidRPr="007E4D43">
        <w:rPr>
          <w:rFonts w:ascii="Arial" w:hAnsi="Arial" w:cs="Arial"/>
          <w:b/>
          <w:bCs/>
          <w:color w:val="002060"/>
          <w:sz w:val="20"/>
          <w:szCs w:val="20"/>
        </w:rPr>
        <w:t>Europäische Gerichtshof (EuGH)</w:t>
      </w:r>
    </w:p>
    <w:p w:rsidR="00281C35" w:rsidRPr="002201C4" w:rsidRDefault="00281C35" w:rsidP="00AC6C35">
      <w:pPr>
        <w:jc w:val="center"/>
        <w:rPr>
          <w:rFonts w:ascii="Arial" w:hAnsi="Arial" w:cs="Arial"/>
          <w:bCs/>
          <w:color w:val="002060"/>
          <w:sz w:val="20"/>
          <w:szCs w:val="20"/>
        </w:rPr>
      </w:pPr>
      <w:r w:rsidRPr="002201C4">
        <w:rPr>
          <w:rFonts w:ascii="Arial" w:hAnsi="Arial" w:cs="Arial"/>
          <w:bCs/>
          <w:color w:val="002060"/>
          <w:sz w:val="20"/>
          <w:szCs w:val="20"/>
        </w:rPr>
        <w:t>Urteil vom 19.10.2023 in der Rechtssache C-660/20 | Lufthansa CityLine.</w:t>
      </w:r>
    </w:p>
    <w:p w:rsidR="00AC6C35" w:rsidRDefault="00AC6C35" w:rsidP="00AC6C35">
      <w:pPr>
        <w:jc w:val="center"/>
        <w:rPr>
          <w:rFonts w:ascii="Arial" w:hAnsi="Arial" w:cs="Arial"/>
          <w:b/>
          <w:bCs/>
          <w:color w:val="002060"/>
          <w:sz w:val="20"/>
          <w:szCs w:val="20"/>
        </w:rPr>
      </w:pPr>
    </w:p>
    <w:p w:rsidR="003D4C05" w:rsidRPr="007E4D43" w:rsidRDefault="003D4C05" w:rsidP="00AC6C35">
      <w:pPr>
        <w:jc w:val="center"/>
        <w:rPr>
          <w:rFonts w:ascii="Arial" w:hAnsi="Arial" w:cs="Arial"/>
          <w:b/>
          <w:bCs/>
          <w:color w:val="002060"/>
          <w:sz w:val="20"/>
          <w:szCs w:val="20"/>
        </w:rPr>
      </w:pPr>
    </w:p>
    <w:p w:rsidR="003D4C0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Schlagworte/Normen:</w:t>
      </w:r>
    </w:p>
    <w:p w:rsidR="00AC6C35" w:rsidRPr="007E4D43" w:rsidRDefault="00AC6C35"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rPr>
      </w:pPr>
      <w:r w:rsidRPr="007E4D43">
        <w:rPr>
          <w:rFonts w:ascii="Arial" w:hAnsi="Arial" w:cs="Arial"/>
          <w:b/>
          <w:bCs/>
          <w:color w:val="002060"/>
          <w:sz w:val="20"/>
          <w:szCs w:val="20"/>
        </w:rPr>
        <w:t> Teilzeitbeschäftigte - Vergütung wegen Überschreitung einer bestimmten Zahl an Arbeitsstunden</w:t>
      </w:r>
    </w:p>
    <w:p w:rsidR="003D4C05" w:rsidRPr="007E4D43" w:rsidRDefault="003D4C05"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 xml:space="preserve">Volltext PE: </w:t>
      </w:r>
    </w:p>
    <w:p w:rsidR="003D4C05" w:rsidRPr="007E4D43" w:rsidRDefault="003D4C05" w:rsidP="007E4D43">
      <w:pPr>
        <w:jc w:val="both"/>
        <w:rPr>
          <w:rFonts w:ascii="Arial" w:hAnsi="Arial" w:cs="Arial"/>
          <w:sz w:val="20"/>
          <w:szCs w:val="20"/>
        </w:rPr>
      </w:pPr>
    </w:p>
    <w:p w:rsidR="00281C35" w:rsidRPr="007E4D43" w:rsidRDefault="00281C35" w:rsidP="007E4D43">
      <w:pPr>
        <w:jc w:val="both"/>
        <w:rPr>
          <w:rFonts w:ascii="Arial" w:hAnsi="Arial" w:cs="Arial"/>
          <w:sz w:val="20"/>
          <w:szCs w:val="20"/>
        </w:rPr>
      </w:pPr>
      <w:r w:rsidRPr="007E4D43">
        <w:rPr>
          <w:rFonts w:ascii="Arial" w:hAnsi="Arial" w:cs="Arial"/>
          <w:b/>
          <w:bCs/>
          <w:color w:val="002060"/>
          <w:sz w:val="20"/>
          <w:szCs w:val="20"/>
        </w:rPr>
        <w:t> Der Europäische Gerichtshof (EuGH) hat soeben entschieden, dass Teilzeitbeschäftigte nicht schlechter behandelt werden dürfen, wenn es darum geht, eine erhöhte Vergütung wegen Überschreitung einer bestimmten Zahl an Arbeitsstunden zu erhalten.</w:t>
      </w: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Ein deutscher Pilot arbeitet für Lufthansa CityLine als Teilzeitbeschäftigter. Sein Arbeitsvertrag sieht vor, dass er eine Grundvergütung erhält, die sich an der Flugdienstzeit orientiert. Darüber hinaus kann er eine zusätzliche Vergütung erhalten, wenn er eine bestimmte Zahl an Flugdienststunden im Monat leistet und dabei Schwellenwerte überschreitet, die zu diesem Zweck vertraglich festgelegt sind. Diese Schwellenwerte sind allerdings für vollzeitbeschäftigte Piloten und für teilzeitbeschäftigte Piloten gleich.</w:t>
      </w: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Der Pilot ist der Auffassung, dass die Schwellenwerte unter Berücksichtigung der von ihm geleisteten Stundenzahl aufgrund seiner Teilzeittätigkeit herabzusetzen seien. Ihm erwachse mit Überschreitung der so genannten Auslösegrenzen, wenn diese im Verhältnis zur geleisteten Arbeitszeit herabgesetzt seien, ein Anspruch auf die zusätzliche Vergütung.</w:t>
      </w: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xml:space="preserve"> Das mit dem Rechtsstreit zwischen dem Piloten und Lufthansa CityLine befasste deutsche Bundesarbeitsgericht hat ein Vorabentscheidungsersuchen an den Gerichtshof gerichtet. </w:t>
      </w: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Es möchte wissen, ob eine nationale Regelung, nach der ein Teilzeitbeschäftigter die gleiche Zahl Arbeitsstunden wie ein Vollzeitbeschäftigter leisten muss, um eine zusätzliche Vergütung zu erhalten, eine Diskriminierung darstellt, die nach dem Unionsrecht verboten ist.</w:t>
      </w:r>
    </w:p>
    <w:p w:rsidR="00281C35" w:rsidRDefault="00281C35" w:rsidP="007E4D43">
      <w:pPr>
        <w:jc w:val="both"/>
        <w:rPr>
          <w:rFonts w:ascii="Arial" w:hAnsi="Arial" w:cs="Arial"/>
          <w:color w:val="002060"/>
          <w:sz w:val="20"/>
          <w:szCs w:val="20"/>
        </w:rPr>
      </w:pPr>
      <w:r w:rsidRPr="007E4D43">
        <w:rPr>
          <w:rFonts w:ascii="Arial" w:hAnsi="Arial" w:cs="Arial"/>
          <w:color w:val="002060"/>
          <w:sz w:val="20"/>
          <w:szCs w:val="20"/>
        </w:rPr>
        <w:t> Der Gerichtshof bejaht dies. Er stellt zunächst fest, dass die teilzeitbeschäftigten Arbeitnehmer während der Zeit ihrer Beschäftigung die gleichen Aufgaben wahrnehmen wie die vollzeitbeschäftigten Arbeitnehmer oder die gleiche Arbeitsstelle wie diese bekleiden. Damit ist die Situation beider Arbeitnehmerkategorien vergleichbar. Das nationale Gericht wird diesen Aspekt jedoch zu überprüfen haben. Der Gerichtshof stellt sodann fest, dass das Bestehen identischer Schwellenwerte für die Auslösung einer zusätzlichen Vergütung für teilzeitbeschäftigte Piloten gemessen an ihrer Gesamtarbeitszeit einen längeren Flugstundendienst als für vollzeitbeschäftigte Piloten bedeutet. Teilzeitbeschäftigte Piloten werden damit in höherem Maß belastet und werden die Anspruchsvoraussetzungen für die zusätzliche Vergütung weitaus seltener erfüllen als ihre vollzeitbeschäftigten Kollegen. Der Gerichtshof urteilt daher, dass eine solche nationale Regelung zu einer schlechteren Behandlung der teilzeitbeschäftigten Piloten führt, was gegen das Unionsrecht verstößt, es sei denn, diese Behandlung ist durch einen sachlichen Grund gerechtfertigt. Das nationale Gericht ist aufgerufen, auch letzteren Aspekt zu prüfen. Dabei wird es die entsprechenden Erwägungen des Gerichtshofs zu berücksichtigen haben, der Vorbehalte gegenüber den Rechtfertigungsgründen äußert, die insbesondere von der Fluggesellschaft vorgebracht werden.</w:t>
      </w:r>
    </w:p>
    <w:p w:rsidR="003D4C05" w:rsidRPr="007E4D43" w:rsidRDefault="003D4C05"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Siehe:</w:t>
      </w:r>
    </w:p>
    <w:p w:rsidR="003D4C05" w:rsidRPr="007E4D43" w:rsidRDefault="003D4C05" w:rsidP="007E4D43">
      <w:pPr>
        <w:jc w:val="both"/>
        <w:rPr>
          <w:rFonts w:ascii="Arial" w:hAnsi="Arial" w:cs="Arial"/>
          <w:sz w:val="20"/>
          <w:szCs w:val="20"/>
        </w:rPr>
      </w:pP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hyperlink r:id="rId10" w:history="1">
        <w:r w:rsidRPr="007E4D43">
          <w:rPr>
            <w:rStyle w:val="Hyperlink"/>
            <w:rFonts w:ascii="Arial" w:hAnsi="Arial" w:cs="Arial"/>
            <w:sz w:val="20"/>
            <w:szCs w:val="20"/>
          </w:rPr>
          <w:t>https://curia.europa.eu/jcms/upload/docs/application/pdf/2023-10/cp230158de.pdf</w:t>
        </w:r>
      </w:hyperlink>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p>
    <w:p w:rsidR="00281C35" w:rsidRPr="002201C4" w:rsidRDefault="00281C35" w:rsidP="002201C4">
      <w:pPr>
        <w:keepNext/>
        <w:jc w:val="center"/>
        <w:rPr>
          <w:rFonts w:ascii="Arial" w:hAnsi="Arial" w:cs="Arial"/>
          <w:b/>
          <w:sz w:val="20"/>
          <w:szCs w:val="20"/>
        </w:rPr>
      </w:pPr>
      <w:r w:rsidRPr="002201C4">
        <w:rPr>
          <w:rFonts w:ascii="Arial" w:hAnsi="Arial" w:cs="Arial"/>
          <w:b/>
          <w:sz w:val="20"/>
          <w:szCs w:val="20"/>
        </w:rPr>
        <w:t>IV.</w:t>
      </w:r>
    </w:p>
    <w:p w:rsidR="00281C35" w:rsidRPr="007E4D43" w:rsidRDefault="00281C35" w:rsidP="00AC6C35">
      <w:pPr>
        <w:jc w:val="center"/>
        <w:rPr>
          <w:rFonts w:ascii="Arial" w:hAnsi="Arial" w:cs="Arial"/>
          <w:b/>
          <w:bCs/>
          <w:color w:val="002060"/>
          <w:sz w:val="20"/>
          <w:szCs w:val="20"/>
        </w:rPr>
      </w:pPr>
      <w:r w:rsidRPr="007E4D43">
        <w:rPr>
          <w:rFonts w:ascii="Arial" w:hAnsi="Arial" w:cs="Arial"/>
          <w:b/>
          <w:bCs/>
          <w:color w:val="002060"/>
          <w:sz w:val="20"/>
          <w:szCs w:val="20"/>
        </w:rPr>
        <w:t>Landesarbeitsgericht Baden-Württemberg</w:t>
      </w:r>
    </w:p>
    <w:p w:rsidR="00281C35" w:rsidRPr="002201C4" w:rsidRDefault="00281C35" w:rsidP="00AC6C35">
      <w:pPr>
        <w:jc w:val="center"/>
        <w:rPr>
          <w:rFonts w:ascii="Arial" w:hAnsi="Arial" w:cs="Arial"/>
          <w:bCs/>
          <w:color w:val="002060"/>
          <w:sz w:val="20"/>
          <w:szCs w:val="20"/>
        </w:rPr>
      </w:pPr>
      <w:r w:rsidRPr="002201C4">
        <w:rPr>
          <w:rFonts w:ascii="Arial" w:hAnsi="Arial" w:cs="Arial"/>
          <w:bCs/>
          <w:color w:val="002060"/>
          <w:sz w:val="20"/>
          <w:szCs w:val="20"/>
        </w:rPr>
        <w:t xml:space="preserve">Beschluss vom 14.3.2023, 15 </w:t>
      </w:r>
      <w:proofErr w:type="spellStart"/>
      <w:r w:rsidRPr="002201C4">
        <w:rPr>
          <w:rFonts w:ascii="Arial" w:hAnsi="Arial" w:cs="Arial"/>
          <w:bCs/>
          <w:color w:val="002060"/>
          <w:sz w:val="20"/>
          <w:szCs w:val="20"/>
        </w:rPr>
        <w:t>TaBV</w:t>
      </w:r>
      <w:proofErr w:type="spellEnd"/>
      <w:r w:rsidRPr="002201C4">
        <w:rPr>
          <w:rFonts w:ascii="Arial" w:hAnsi="Arial" w:cs="Arial"/>
          <w:bCs/>
          <w:color w:val="002060"/>
          <w:sz w:val="20"/>
          <w:szCs w:val="20"/>
        </w:rPr>
        <w:t xml:space="preserve"> 1/22 – veröffentlicht am 6.10.2023</w:t>
      </w:r>
    </w:p>
    <w:p w:rsidR="00AC6C35" w:rsidRPr="002201C4" w:rsidRDefault="00AC6C35" w:rsidP="00AC6C35">
      <w:pPr>
        <w:jc w:val="center"/>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Schlagworte/Normen:</w:t>
      </w:r>
    </w:p>
    <w:p w:rsidR="00AC6C35" w:rsidRPr="007E4D43" w:rsidRDefault="00AC6C35" w:rsidP="007E4D43">
      <w:pPr>
        <w:jc w:val="both"/>
        <w:rPr>
          <w:rFonts w:ascii="Arial" w:hAnsi="Arial" w:cs="Arial"/>
          <w:sz w:val="20"/>
          <w:szCs w:val="20"/>
        </w:rPr>
      </w:pPr>
    </w:p>
    <w:p w:rsidR="00281C35" w:rsidRPr="007E4D43" w:rsidRDefault="00281C35" w:rsidP="007E4D43">
      <w:pPr>
        <w:jc w:val="both"/>
        <w:rPr>
          <w:rFonts w:ascii="Arial" w:hAnsi="Arial" w:cs="Arial"/>
          <w:sz w:val="20"/>
          <w:szCs w:val="20"/>
        </w:rPr>
      </w:pPr>
      <w:r w:rsidRPr="007E4D43">
        <w:rPr>
          <w:rFonts w:ascii="Arial" w:hAnsi="Arial" w:cs="Arial"/>
          <w:b/>
          <w:bCs/>
          <w:color w:val="002060"/>
          <w:sz w:val="20"/>
          <w:szCs w:val="20"/>
        </w:rPr>
        <w:t> Betriebsverfassungsrechtliche Zuordnung eines Arbeitnehmers zu einem Betrieb bei mehreren Betrieben eines Unternehmens - Eingliederung eines Arbeitnehmers in mehrere Betriebe (hier abgelehnt) – Querschnittsfunktion</w:t>
      </w:r>
    </w:p>
    <w:p w:rsidR="00281C35" w:rsidRPr="007E4D43" w:rsidRDefault="00281C35" w:rsidP="007E4D43">
      <w:pPr>
        <w:jc w:val="both"/>
        <w:rPr>
          <w:rFonts w:ascii="Arial" w:hAnsi="Arial" w:cs="Arial"/>
          <w:sz w:val="20"/>
          <w:szCs w:val="20"/>
        </w:rPr>
      </w:pPr>
      <w:r w:rsidRPr="007E4D43">
        <w:rPr>
          <w:rFonts w:ascii="Arial" w:hAnsi="Arial" w:cs="Arial"/>
          <w:b/>
          <w:bCs/>
          <w:color w:val="002060"/>
          <w:sz w:val="20"/>
          <w:szCs w:val="20"/>
        </w:rPr>
        <w:t> </w:t>
      </w:r>
      <w:r w:rsidRPr="007E4D43">
        <w:rPr>
          <w:rFonts w:ascii="Arial" w:hAnsi="Arial" w:cs="Arial"/>
          <w:b/>
          <w:bCs/>
          <w:color w:val="002060"/>
          <w:sz w:val="20"/>
          <w:szCs w:val="20"/>
          <w:u w:val="single"/>
        </w:rPr>
        <w:t xml:space="preserve">Leitsätze: </w:t>
      </w:r>
    </w:p>
    <w:p w:rsidR="00281C35" w:rsidRPr="007E4D43" w:rsidRDefault="00281C35" w:rsidP="007E4D43">
      <w:pPr>
        <w:jc w:val="both"/>
        <w:rPr>
          <w:rFonts w:ascii="Arial" w:hAnsi="Arial" w:cs="Arial"/>
          <w:sz w:val="20"/>
          <w:szCs w:val="20"/>
        </w:rPr>
      </w:pPr>
      <w:r w:rsidRPr="007E4D43">
        <w:rPr>
          <w:rFonts w:ascii="Arial" w:hAnsi="Arial" w:cs="Arial"/>
          <w:b/>
          <w:bCs/>
          <w:color w:val="002060"/>
          <w:sz w:val="20"/>
          <w:szCs w:val="20"/>
        </w:rPr>
        <w:lastRenderedPageBreak/>
        <w:t> </w:t>
      </w:r>
      <w:r w:rsidRPr="007E4D43">
        <w:rPr>
          <w:rFonts w:ascii="Arial" w:hAnsi="Arial" w:cs="Arial"/>
          <w:color w:val="002060"/>
          <w:sz w:val="20"/>
          <w:szCs w:val="20"/>
        </w:rPr>
        <w:t>1. Bestehen in einem Unternehmen mehrere Betriebe und ist ein Arbeitnehmer in einen dieser Betriebe eingegliedert, löst nicht schon eine Vor- oder Zuarbeit dieses Arbeitnehmers für den arbeitstechnischen Zweck eines anderen Betriebs die zusätzliche Eingliederung dieses Arbeitnehmers in den anderen Betrieb aus. Erforderlich für die zusätzliche Eingliederung in den anderen Betrieb ist vielmehr eine regelmäßige Zusammenarbeit mit den Arbeitnehmern dieses anderen Betriebs (Anschluss an BAG 14.06.2022 - 1 ABR 13/21).</w:t>
      </w:r>
    </w:p>
    <w:p w:rsidR="00281C35" w:rsidRDefault="00281C35" w:rsidP="007E4D43">
      <w:pPr>
        <w:jc w:val="both"/>
        <w:rPr>
          <w:rFonts w:ascii="Arial" w:hAnsi="Arial" w:cs="Arial"/>
          <w:color w:val="002060"/>
          <w:sz w:val="20"/>
          <w:szCs w:val="20"/>
        </w:rPr>
      </w:pPr>
      <w:r w:rsidRPr="007E4D43">
        <w:rPr>
          <w:rFonts w:ascii="Arial" w:hAnsi="Arial" w:cs="Arial"/>
          <w:color w:val="002060"/>
          <w:sz w:val="20"/>
          <w:szCs w:val="20"/>
        </w:rPr>
        <w:t> 2. Die betriebsverfassungsrechtliche Zuordnung eines Arbeitnehmers ist im Falle mehrerer Betriebe eines Unternehmens zwar nicht auf den Betrieb beschränkt, in dem der Schwerpunkt der Tätigkeit des Arbeitnehmers liegt. Jedoch bewirken Arbeiten eines Arbeitnehmers für einen weiteren Betrieb nicht bereits seine zusätzliche Eingliederung in diesen weiteren Betrieb, wenn diese Arbeiten seine Tätigkeit nur in einem Randaspekt gestalten. Die durch eine betriebsverfassungsrechtliche Mehrfachzuordnung entstehenden hochkomplizierten betriebsverfassungsrechtlichen Folgeprobleme führen zu einer Erschwerung der Anwendung des Betriebsverfassungsrechts, der in solchen Konstellationen kein beachtlicher Vorteil gegenüberstünde.</w:t>
      </w:r>
    </w:p>
    <w:p w:rsidR="002F35FD" w:rsidRPr="007E4D43" w:rsidRDefault="002F35FD"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Siehe:</w:t>
      </w:r>
    </w:p>
    <w:p w:rsidR="002F35FD" w:rsidRPr="007E4D43" w:rsidRDefault="002F35FD" w:rsidP="007E4D43">
      <w:pPr>
        <w:jc w:val="both"/>
        <w:rPr>
          <w:rFonts w:ascii="Arial" w:hAnsi="Arial" w:cs="Arial"/>
          <w:sz w:val="20"/>
          <w:szCs w:val="20"/>
        </w:rPr>
      </w:pP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hyperlink r:id="rId11" w:history="1">
        <w:r w:rsidRPr="007E4D43">
          <w:rPr>
            <w:rStyle w:val="Hyperlink"/>
            <w:rFonts w:ascii="Arial" w:hAnsi="Arial" w:cs="Arial"/>
            <w:sz w:val="20"/>
            <w:szCs w:val="20"/>
          </w:rPr>
          <w:t>http://lrbw.juris.de/cgi-bin/laender_rechtsprechung/document.py?Gericht=bw&amp;GerichtAuswahl=Arbeitsgerichte&amp;Art=en&amp;Datum=2023&amp;Seite=2&amp;nr=39122&amp;pos=20&amp;anz=34</w:t>
        </w:r>
      </w:hyperlink>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p>
    <w:p w:rsidR="00281C35" w:rsidRPr="002201C4" w:rsidRDefault="00281C35" w:rsidP="002201C4">
      <w:pPr>
        <w:keepNext/>
        <w:jc w:val="center"/>
        <w:rPr>
          <w:rFonts w:ascii="Arial" w:hAnsi="Arial" w:cs="Arial"/>
          <w:b/>
          <w:sz w:val="20"/>
          <w:szCs w:val="20"/>
        </w:rPr>
      </w:pPr>
      <w:r w:rsidRPr="002201C4">
        <w:rPr>
          <w:rFonts w:ascii="Arial" w:hAnsi="Arial" w:cs="Arial"/>
          <w:b/>
          <w:sz w:val="20"/>
          <w:szCs w:val="20"/>
        </w:rPr>
        <w:t>V.</w:t>
      </w:r>
    </w:p>
    <w:p w:rsidR="001A2B37" w:rsidRPr="007E4D43" w:rsidRDefault="00281C35" w:rsidP="00AC6C35">
      <w:pPr>
        <w:jc w:val="center"/>
        <w:rPr>
          <w:rFonts w:ascii="Arial" w:hAnsi="Arial" w:cs="Arial"/>
          <w:b/>
          <w:bCs/>
          <w:color w:val="002060"/>
          <w:sz w:val="20"/>
          <w:szCs w:val="20"/>
        </w:rPr>
      </w:pPr>
      <w:r w:rsidRPr="007E4D43">
        <w:rPr>
          <w:rFonts w:ascii="Arial" w:hAnsi="Arial" w:cs="Arial"/>
          <w:b/>
          <w:bCs/>
          <w:color w:val="002060"/>
          <w:sz w:val="20"/>
          <w:szCs w:val="20"/>
        </w:rPr>
        <w:t>Landesarbeitsgericht Baden-Württemberg</w:t>
      </w:r>
    </w:p>
    <w:p w:rsidR="00281C35" w:rsidRPr="002201C4" w:rsidRDefault="00281C35" w:rsidP="00AC6C35">
      <w:pPr>
        <w:jc w:val="center"/>
        <w:rPr>
          <w:rFonts w:ascii="Arial" w:hAnsi="Arial" w:cs="Arial"/>
          <w:bCs/>
          <w:color w:val="002060"/>
          <w:sz w:val="20"/>
          <w:szCs w:val="20"/>
        </w:rPr>
      </w:pPr>
      <w:r w:rsidRPr="002201C4">
        <w:rPr>
          <w:rFonts w:ascii="Arial" w:hAnsi="Arial" w:cs="Arial"/>
          <w:bCs/>
          <w:color w:val="002060"/>
          <w:sz w:val="20"/>
          <w:szCs w:val="20"/>
        </w:rPr>
        <w:t>Beschluss vom 22.9.2023, 7 Ta 1/22 – veröffentlicht am 6.10.2023</w:t>
      </w:r>
    </w:p>
    <w:p w:rsidR="00AC6C35" w:rsidRPr="007E4D43" w:rsidRDefault="00AC6C35" w:rsidP="00AC6C35">
      <w:pPr>
        <w:jc w:val="center"/>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Schlagworte/Normen:</w:t>
      </w:r>
    </w:p>
    <w:p w:rsidR="00AC6C35" w:rsidRPr="007E4D43" w:rsidRDefault="00AC6C35"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rPr>
      </w:pPr>
      <w:r w:rsidRPr="007E4D43">
        <w:rPr>
          <w:rFonts w:ascii="Arial" w:hAnsi="Arial" w:cs="Arial"/>
          <w:b/>
          <w:bCs/>
          <w:color w:val="002060"/>
          <w:sz w:val="20"/>
          <w:szCs w:val="20"/>
        </w:rPr>
        <w:t> Meistbegünstigungsgrundsatz - Einstufung der Geheimhaltungsbedürftigkeit und Vorabverfahren – Geschäftsgeheimnis</w:t>
      </w:r>
    </w:p>
    <w:p w:rsidR="002F35FD" w:rsidRPr="007E4D43" w:rsidRDefault="002F35FD"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 xml:space="preserve">Leitsätze: </w:t>
      </w:r>
    </w:p>
    <w:p w:rsidR="002F35FD" w:rsidRPr="007E4D43" w:rsidRDefault="002F35FD" w:rsidP="007E4D43">
      <w:pPr>
        <w:jc w:val="both"/>
        <w:rPr>
          <w:rFonts w:ascii="Arial" w:hAnsi="Arial" w:cs="Arial"/>
          <w:sz w:val="20"/>
          <w:szCs w:val="20"/>
        </w:rPr>
      </w:pPr>
    </w:p>
    <w:p w:rsidR="001A2B37" w:rsidRDefault="00281C35" w:rsidP="007E4D43">
      <w:pPr>
        <w:jc w:val="both"/>
        <w:rPr>
          <w:rFonts w:ascii="Arial" w:hAnsi="Arial" w:cs="Arial"/>
          <w:color w:val="002060"/>
          <w:sz w:val="20"/>
          <w:szCs w:val="20"/>
        </w:rPr>
      </w:pPr>
      <w:r w:rsidRPr="007E4D43">
        <w:rPr>
          <w:rFonts w:ascii="Arial" w:hAnsi="Arial" w:cs="Arial"/>
          <w:b/>
          <w:bCs/>
          <w:color w:val="002060"/>
          <w:sz w:val="20"/>
          <w:szCs w:val="20"/>
        </w:rPr>
        <w:t> </w:t>
      </w:r>
      <w:r w:rsidRPr="007E4D43">
        <w:rPr>
          <w:rFonts w:ascii="Arial" w:hAnsi="Arial" w:cs="Arial"/>
          <w:color w:val="002060"/>
          <w:sz w:val="20"/>
          <w:szCs w:val="20"/>
        </w:rPr>
        <w:t xml:space="preserve">1. Beantragt eine Partei, streitgegenständliche Informationen ganz oder teilweise nach § 16 Abs. 1 </w:t>
      </w:r>
      <w:proofErr w:type="spellStart"/>
      <w:r w:rsidRPr="007E4D43">
        <w:rPr>
          <w:rFonts w:ascii="Arial" w:hAnsi="Arial" w:cs="Arial"/>
          <w:color w:val="002060"/>
          <w:sz w:val="20"/>
          <w:szCs w:val="20"/>
        </w:rPr>
        <w:t>GeschGehG</w:t>
      </w:r>
      <w:proofErr w:type="spellEnd"/>
      <w:r w:rsidRPr="007E4D43">
        <w:rPr>
          <w:rFonts w:ascii="Arial" w:hAnsi="Arial" w:cs="Arial"/>
          <w:color w:val="002060"/>
          <w:sz w:val="20"/>
          <w:szCs w:val="20"/>
        </w:rPr>
        <w:t xml:space="preserve"> als geheimhaltungsbedürftig einzustufen, ist hierüber vorab durch Beschluss zu entscheiden.</w:t>
      </w:r>
      <w:r w:rsidR="001A2B37" w:rsidRPr="007E4D43">
        <w:rPr>
          <w:rFonts w:ascii="Arial" w:hAnsi="Arial" w:cs="Arial"/>
          <w:color w:val="002060"/>
          <w:sz w:val="20"/>
          <w:szCs w:val="20"/>
        </w:rPr>
        <w:t xml:space="preserve"> </w:t>
      </w:r>
    </w:p>
    <w:p w:rsidR="001A2B37" w:rsidRPr="007E4D43" w:rsidRDefault="00281C35" w:rsidP="007E4D43">
      <w:pPr>
        <w:jc w:val="both"/>
        <w:rPr>
          <w:rFonts w:ascii="Arial" w:hAnsi="Arial" w:cs="Arial"/>
          <w:color w:val="002060"/>
          <w:sz w:val="20"/>
          <w:szCs w:val="20"/>
        </w:rPr>
      </w:pPr>
      <w:r w:rsidRPr="007E4D43">
        <w:rPr>
          <w:rFonts w:ascii="Arial" w:hAnsi="Arial" w:cs="Arial"/>
          <w:color w:val="002060"/>
          <w:sz w:val="20"/>
          <w:szCs w:val="20"/>
        </w:rPr>
        <w:t>2. Verstößt das Arbeitsgericht hiergegen und erlässt ein Endurteil, ist nach Maßgabe des Meistbegünstigungsgrundsatzes, sofern die Einstufung als geheimhaltungsbedürftig zweitinstanzlich weiterverfolgt wird, eine eingelegte Berufung in Bezug auf den Einstufungsantrag in das Beschwerdeverfahren überzuleiten und im Übrigen die Berufung bis zur nicht anfechtbaren Entscheidung über den Einstufungsantrag auszusetzen.</w:t>
      </w:r>
      <w:r w:rsidR="001A2B37" w:rsidRPr="007E4D43">
        <w:rPr>
          <w:rFonts w:ascii="Arial" w:hAnsi="Arial" w:cs="Arial"/>
          <w:color w:val="002060"/>
          <w:sz w:val="20"/>
          <w:szCs w:val="20"/>
        </w:rPr>
        <w:t xml:space="preserve"> </w:t>
      </w:r>
    </w:p>
    <w:p w:rsidR="001A2B37" w:rsidRPr="007E4D43" w:rsidRDefault="00281C35" w:rsidP="007E4D43">
      <w:pPr>
        <w:jc w:val="both"/>
        <w:rPr>
          <w:rFonts w:ascii="Arial" w:hAnsi="Arial" w:cs="Arial"/>
          <w:color w:val="002060"/>
          <w:sz w:val="20"/>
          <w:szCs w:val="20"/>
        </w:rPr>
      </w:pPr>
      <w:r w:rsidRPr="007E4D43">
        <w:rPr>
          <w:rFonts w:ascii="Arial" w:hAnsi="Arial" w:cs="Arial"/>
          <w:color w:val="002060"/>
          <w:sz w:val="20"/>
          <w:szCs w:val="20"/>
        </w:rPr>
        <w:t>3. Der auf das insoweit als sofortige Beschwerde zu behandelnde Rechtsmittel ergangene Beschluss ist nicht isoliert anfechtbar, sondern nur gemeinsam mit dem Rechtsmittel der Hauptsache.</w:t>
      </w:r>
    </w:p>
    <w:p w:rsidR="001A2B37" w:rsidRPr="007E4D43" w:rsidRDefault="00281C35" w:rsidP="007E4D43">
      <w:pPr>
        <w:jc w:val="both"/>
        <w:rPr>
          <w:rFonts w:ascii="Arial" w:hAnsi="Arial" w:cs="Arial"/>
          <w:color w:val="002060"/>
          <w:sz w:val="20"/>
          <w:szCs w:val="20"/>
        </w:rPr>
      </w:pPr>
      <w:r w:rsidRPr="007E4D43">
        <w:rPr>
          <w:rFonts w:ascii="Arial" w:hAnsi="Arial" w:cs="Arial"/>
          <w:color w:val="002060"/>
          <w:sz w:val="20"/>
          <w:szCs w:val="20"/>
        </w:rPr>
        <w:t xml:space="preserve">4. Soweit zugleich beantragt wird, die Öffentlichkeit von der mündlichen Verhandlung auszuschließen, ist dieses weitere Begehren nicht vom Vorabverfahren nach § 20 </w:t>
      </w:r>
      <w:proofErr w:type="spellStart"/>
      <w:r w:rsidRPr="007E4D43">
        <w:rPr>
          <w:rFonts w:ascii="Arial" w:hAnsi="Arial" w:cs="Arial"/>
          <w:color w:val="002060"/>
          <w:sz w:val="20"/>
          <w:szCs w:val="20"/>
        </w:rPr>
        <w:t>GeschGehG</w:t>
      </w:r>
      <w:proofErr w:type="spellEnd"/>
      <w:r w:rsidRPr="007E4D43">
        <w:rPr>
          <w:rFonts w:ascii="Arial" w:hAnsi="Arial" w:cs="Arial"/>
          <w:color w:val="002060"/>
          <w:sz w:val="20"/>
          <w:szCs w:val="20"/>
        </w:rPr>
        <w:t xml:space="preserve"> erfasst. </w:t>
      </w:r>
    </w:p>
    <w:p w:rsidR="001A2B37" w:rsidRPr="007E4D43" w:rsidRDefault="00281C35" w:rsidP="007E4D43">
      <w:pPr>
        <w:jc w:val="both"/>
        <w:rPr>
          <w:rFonts w:ascii="Arial" w:hAnsi="Arial" w:cs="Arial"/>
          <w:color w:val="002060"/>
          <w:sz w:val="20"/>
          <w:szCs w:val="20"/>
        </w:rPr>
      </w:pPr>
      <w:r w:rsidRPr="007E4D43">
        <w:rPr>
          <w:rFonts w:ascii="Arial" w:hAnsi="Arial" w:cs="Arial"/>
          <w:color w:val="002060"/>
          <w:sz w:val="20"/>
          <w:szCs w:val="20"/>
        </w:rPr>
        <w:t>5. Für den Antrag auf Ausschluss der Öffentlichkeit im zweitinstanzlichen arbeitsgerichtlichen Verfahren ist auf § 52 ArbGG in Verbindung mit § 64 Abs. 7 ArbGG zurückzugreifen.</w:t>
      </w:r>
    </w:p>
    <w:p w:rsidR="001A2B37" w:rsidRPr="007E4D43" w:rsidRDefault="001A2B37" w:rsidP="007E4D43">
      <w:pPr>
        <w:jc w:val="both"/>
        <w:rPr>
          <w:rFonts w:ascii="Arial" w:hAnsi="Arial" w:cs="Arial"/>
          <w:color w:val="002060"/>
          <w:sz w:val="20"/>
          <w:szCs w:val="20"/>
        </w:rPr>
      </w:pPr>
      <w:r w:rsidRPr="007E4D43">
        <w:rPr>
          <w:rFonts w:ascii="Arial" w:hAnsi="Arial" w:cs="Arial"/>
          <w:color w:val="002060"/>
          <w:sz w:val="20"/>
          <w:szCs w:val="20"/>
        </w:rPr>
        <w:t xml:space="preserve"> </w:t>
      </w:r>
      <w:r w:rsidR="00281C35" w:rsidRPr="007E4D43">
        <w:rPr>
          <w:rFonts w:ascii="Arial" w:hAnsi="Arial" w:cs="Arial"/>
          <w:color w:val="002060"/>
          <w:sz w:val="20"/>
          <w:szCs w:val="20"/>
        </w:rPr>
        <w:t xml:space="preserve">6. Ein Einstufungsantrag nach § 16 Abs. 1 </w:t>
      </w:r>
      <w:proofErr w:type="spellStart"/>
      <w:r w:rsidR="00281C35" w:rsidRPr="007E4D43">
        <w:rPr>
          <w:rFonts w:ascii="Arial" w:hAnsi="Arial" w:cs="Arial"/>
          <w:color w:val="002060"/>
          <w:sz w:val="20"/>
          <w:szCs w:val="20"/>
        </w:rPr>
        <w:t>GeschGehG</w:t>
      </w:r>
      <w:proofErr w:type="spellEnd"/>
      <w:r w:rsidR="00281C35" w:rsidRPr="007E4D43">
        <w:rPr>
          <w:rFonts w:ascii="Arial" w:hAnsi="Arial" w:cs="Arial"/>
          <w:color w:val="002060"/>
          <w:sz w:val="20"/>
          <w:szCs w:val="20"/>
        </w:rPr>
        <w:t xml:space="preserve"> ist nur statthaft, wenn der Antragsteller eine Geschäftsgeheimnisstreitsache mit den sich aus Abschnitt 2 des </w:t>
      </w:r>
      <w:proofErr w:type="spellStart"/>
      <w:r w:rsidR="00281C35" w:rsidRPr="007E4D43">
        <w:rPr>
          <w:rFonts w:ascii="Arial" w:hAnsi="Arial" w:cs="Arial"/>
          <w:color w:val="002060"/>
          <w:sz w:val="20"/>
          <w:szCs w:val="20"/>
        </w:rPr>
        <w:t>GeschGehG</w:t>
      </w:r>
      <w:proofErr w:type="spellEnd"/>
      <w:r w:rsidR="00281C35" w:rsidRPr="007E4D43">
        <w:rPr>
          <w:rFonts w:ascii="Arial" w:hAnsi="Arial" w:cs="Arial"/>
          <w:color w:val="002060"/>
          <w:sz w:val="20"/>
          <w:szCs w:val="20"/>
        </w:rPr>
        <w:t xml:space="preserve"> ergebenden Streitigkeiten verfolgt.</w:t>
      </w:r>
    </w:p>
    <w:p w:rsidR="001A2B37" w:rsidRPr="007E4D43" w:rsidRDefault="00281C35" w:rsidP="007E4D43">
      <w:pPr>
        <w:jc w:val="both"/>
        <w:rPr>
          <w:rFonts w:ascii="Arial" w:hAnsi="Arial" w:cs="Arial"/>
          <w:color w:val="002060"/>
          <w:sz w:val="20"/>
          <w:szCs w:val="20"/>
        </w:rPr>
      </w:pPr>
      <w:r w:rsidRPr="007E4D43">
        <w:rPr>
          <w:rFonts w:ascii="Arial" w:hAnsi="Arial" w:cs="Arial"/>
          <w:color w:val="002060"/>
          <w:sz w:val="20"/>
          <w:szCs w:val="20"/>
        </w:rPr>
        <w:t xml:space="preserve">7. Es genügt als tatbestandliche Voraussetzung, dass die streitgegenständlichen als geheimhaltungsbedürftig einzustufenden Informationen im Sinne des § 2 Nr. 1 </w:t>
      </w:r>
      <w:proofErr w:type="spellStart"/>
      <w:r w:rsidRPr="007E4D43">
        <w:rPr>
          <w:rFonts w:ascii="Arial" w:hAnsi="Arial" w:cs="Arial"/>
          <w:color w:val="002060"/>
          <w:sz w:val="20"/>
          <w:szCs w:val="20"/>
        </w:rPr>
        <w:t>GeschGehG</w:t>
      </w:r>
      <w:proofErr w:type="spellEnd"/>
      <w:r w:rsidRPr="007E4D43">
        <w:rPr>
          <w:rFonts w:ascii="Arial" w:hAnsi="Arial" w:cs="Arial"/>
          <w:color w:val="002060"/>
          <w:sz w:val="20"/>
          <w:szCs w:val="20"/>
        </w:rPr>
        <w:t xml:space="preserve"> ein Geschäftsgeheimnis sein können. Das folgt aus der richtlinienkonformen Auslegung des Art. 9 Abs. 1 (EU) 2016/943 vom 08.06.2016 (</w:t>
      </w:r>
      <w:proofErr w:type="spellStart"/>
      <w:r w:rsidRPr="007E4D43">
        <w:rPr>
          <w:rFonts w:ascii="Arial" w:hAnsi="Arial" w:cs="Arial"/>
          <w:color w:val="002060"/>
          <w:sz w:val="20"/>
          <w:szCs w:val="20"/>
        </w:rPr>
        <w:t>ABl.</w:t>
      </w:r>
      <w:proofErr w:type="spellEnd"/>
      <w:r w:rsidRPr="007E4D43">
        <w:rPr>
          <w:rFonts w:ascii="Arial" w:hAnsi="Arial" w:cs="Arial"/>
          <w:color w:val="002060"/>
          <w:sz w:val="20"/>
          <w:szCs w:val="20"/>
        </w:rPr>
        <w:t xml:space="preserve"> L 157 vom 15.06.2016, S. 1). Dementsprechend reicht es aus, dass für das Vorliegen eines solchen Geschäftsgeheimnisses eine überwiegende Wahrscheinlichkeit besteht (Prognoseentscheidung). </w:t>
      </w:r>
    </w:p>
    <w:p w:rsidR="001A2B37" w:rsidRPr="007E4D43" w:rsidRDefault="00281C35" w:rsidP="007E4D43">
      <w:pPr>
        <w:jc w:val="both"/>
        <w:rPr>
          <w:rFonts w:ascii="Arial" w:hAnsi="Arial" w:cs="Arial"/>
          <w:color w:val="002060"/>
          <w:sz w:val="20"/>
          <w:szCs w:val="20"/>
        </w:rPr>
      </w:pPr>
      <w:r w:rsidRPr="007E4D43">
        <w:rPr>
          <w:rFonts w:ascii="Arial" w:hAnsi="Arial" w:cs="Arial"/>
          <w:color w:val="002060"/>
          <w:sz w:val="20"/>
          <w:szCs w:val="20"/>
        </w:rPr>
        <w:t>8. Liegt danach ein mögliches Geschäftsgeheimnis vor, ist in aller Regel nur eine Einstufung als geheimhaltungsbedürftig ermessensfehlerfrei. Etwas anderes kommt allenfalls bei eindeutig rechtsmissbräuchlichen Anträgen in Betracht.</w:t>
      </w:r>
    </w:p>
    <w:p w:rsidR="001A2B37" w:rsidRPr="007E4D43" w:rsidRDefault="001A2B37" w:rsidP="007E4D43">
      <w:pPr>
        <w:jc w:val="both"/>
        <w:rPr>
          <w:rFonts w:ascii="Arial" w:hAnsi="Arial" w:cs="Arial"/>
          <w:color w:val="002060"/>
          <w:sz w:val="20"/>
          <w:szCs w:val="20"/>
        </w:rPr>
      </w:pPr>
      <w:r w:rsidRPr="007E4D43">
        <w:rPr>
          <w:rFonts w:ascii="Arial" w:hAnsi="Arial" w:cs="Arial"/>
          <w:color w:val="002060"/>
          <w:sz w:val="20"/>
          <w:szCs w:val="20"/>
        </w:rPr>
        <w:t xml:space="preserve"> </w:t>
      </w:r>
    </w:p>
    <w:p w:rsidR="00281C35" w:rsidRPr="007E4D43" w:rsidRDefault="00281C35" w:rsidP="007E4D43">
      <w:pPr>
        <w:jc w:val="both"/>
        <w:rPr>
          <w:rFonts w:ascii="Arial" w:hAnsi="Arial" w:cs="Arial"/>
          <w:color w:val="002060"/>
          <w:sz w:val="20"/>
          <w:szCs w:val="20"/>
        </w:rPr>
      </w:pPr>
      <w:r w:rsidRPr="007E4D43">
        <w:rPr>
          <w:rFonts w:ascii="Arial" w:hAnsi="Arial" w:cs="Arial"/>
          <w:color w:val="002060"/>
          <w:sz w:val="20"/>
          <w:szCs w:val="20"/>
        </w:rPr>
        <w:lastRenderedPageBreak/>
        <w:t>9. Für das Vorliegen eines Geschäftsgeheimnisses genügt die Glaubhaftmachung der tatbestandlichen Voraussetzungen. Davon ist auszugehen, wenn nach freier Würdigung eine überwiegende Wahrscheinlichkeit besteht..</w:t>
      </w:r>
    </w:p>
    <w:p w:rsidR="00281C35" w:rsidRPr="007E4D43" w:rsidRDefault="00281C35" w:rsidP="007E4D43">
      <w:pPr>
        <w:jc w:val="both"/>
        <w:rPr>
          <w:rFonts w:ascii="Arial" w:hAnsi="Arial" w:cs="Arial"/>
          <w:sz w:val="20"/>
          <w:szCs w:val="20"/>
        </w:rPr>
      </w:pPr>
      <w:r w:rsidRPr="007E4D43">
        <w:rPr>
          <w:rFonts w:ascii="Arial" w:hAnsi="Arial" w:cs="Arial"/>
          <w:b/>
          <w:bCs/>
          <w:color w:val="002060"/>
          <w:sz w:val="20"/>
          <w:szCs w:val="20"/>
        </w:rPr>
        <w:t> </w:t>
      </w: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u w:val="single"/>
        </w:rPr>
        <w:t>Siehe:</w:t>
      </w:r>
    </w:p>
    <w:p w:rsidR="002F35FD" w:rsidRPr="007E4D43" w:rsidRDefault="002F35FD" w:rsidP="007E4D43">
      <w:pPr>
        <w:jc w:val="both"/>
        <w:rPr>
          <w:rFonts w:ascii="Arial" w:hAnsi="Arial" w:cs="Arial"/>
          <w:sz w:val="20"/>
          <w:szCs w:val="20"/>
        </w:rPr>
      </w:pP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hyperlink r:id="rId12" w:history="1">
        <w:r w:rsidR="001A2B37" w:rsidRPr="007E4D43">
          <w:rPr>
            <w:rStyle w:val="Hyperlink"/>
            <w:rFonts w:ascii="Arial" w:hAnsi="Arial" w:cs="Arial"/>
            <w:sz w:val="20"/>
            <w:szCs w:val="20"/>
          </w:rPr>
          <w:t>http://lrbw.juris.de/cgi-bin/laender_rechtsprechung/document.py?Gericht=bw&amp;GerichtAuswahl=Arbeitsgerichte&amp;Art=en&amp;Datum=2023&amp;Seite=0&amp;nr=39123&amp;pos=0&amp;anz=34</w:t>
        </w:r>
      </w:hyperlink>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p>
    <w:p w:rsidR="00281C35" w:rsidRPr="002201C4" w:rsidRDefault="00281C35" w:rsidP="002201C4">
      <w:pPr>
        <w:keepNext/>
        <w:jc w:val="center"/>
        <w:rPr>
          <w:rFonts w:ascii="Arial" w:hAnsi="Arial" w:cs="Arial"/>
          <w:b/>
          <w:sz w:val="20"/>
          <w:szCs w:val="20"/>
        </w:rPr>
      </w:pPr>
      <w:r w:rsidRPr="002201C4">
        <w:rPr>
          <w:rFonts w:ascii="Arial" w:hAnsi="Arial" w:cs="Arial"/>
          <w:b/>
          <w:sz w:val="20"/>
          <w:szCs w:val="20"/>
        </w:rPr>
        <w:t>VI.</w:t>
      </w:r>
    </w:p>
    <w:p w:rsidR="001A2B37" w:rsidRPr="007E4D43" w:rsidRDefault="00281C35" w:rsidP="00AC6C35">
      <w:pPr>
        <w:jc w:val="center"/>
        <w:rPr>
          <w:rFonts w:ascii="Arial" w:hAnsi="Arial" w:cs="Arial"/>
          <w:b/>
          <w:bCs/>
          <w:color w:val="002060"/>
          <w:sz w:val="20"/>
          <w:szCs w:val="20"/>
        </w:rPr>
      </w:pPr>
      <w:r w:rsidRPr="007E4D43">
        <w:rPr>
          <w:rFonts w:ascii="Arial" w:hAnsi="Arial" w:cs="Arial"/>
          <w:b/>
          <w:bCs/>
          <w:color w:val="002060"/>
          <w:sz w:val="20"/>
          <w:szCs w:val="20"/>
        </w:rPr>
        <w:t>Landesarbeitsgericht Baden-Württemberg</w:t>
      </w:r>
    </w:p>
    <w:p w:rsidR="00281C35" w:rsidRPr="002201C4" w:rsidRDefault="00281C35" w:rsidP="00AC6C35">
      <w:pPr>
        <w:jc w:val="center"/>
        <w:rPr>
          <w:rFonts w:ascii="Arial" w:hAnsi="Arial" w:cs="Arial"/>
          <w:bCs/>
          <w:color w:val="002060"/>
          <w:sz w:val="20"/>
          <w:szCs w:val="20"/>
        </w:rPr>
      </w:pPr>
      <w:r w:rsidRPr="002201C4">
        <w:rPr>
          <w:rFonts w:ascii="Arial" w:hAnsi="Arial" w:cs="Arial"/>
          <w:bCs/>
          <w:color w:val="002060"/>
          <w:sz w:val="20"/>
          <w:szCs w:val="20"/>
        </w:rPr>
        <w:t>Beschluss vom 20.9.2023, 12 Sa 90/20 – veröffentlicht am 3.10.2023</w:t>
      </w:r>
    </w:p>
    <w:p w:rsidR="00AC6C35" w:rsidRPr="007E4D43" w:rsidRDefault="00AC6C35" w:rsidP="00AC6C35">
      <w:pPr>
        <w:jc w:val="center"/>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Schlagworte/Normen:</w:t>
      </w:r>
    </w:p>
    <w:p w:rsidR="00AC6C35" w:rsidRPr="007E4D43" w:rsidRDefault="00AC6C35"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rPr>
      </w:pPr>
      <w:r w:rsidRPr="007E4D43">
        <w:rPr>
          <w:rFonts w:ascii="Arial" w:hAnsi="Arial" w:cs="Arial"/>
          <w:b/>
          <w:bCs/>
          <w:color w:val="002060"/>
          <w:sz w:val="20"/>
          <w:szCs w:val="20"/>
        </w:rPr>
        <w:t> Nachtzuschläge - Aussetzung - Verfassungsbeschwerde - Gesamtabwägung - hinreichende Erfolgsaussichten</w:t>
      </w:r>
    </w:p>
    <w:p w:rsidR="002F35FD" w:rsidRPr="007E4D43" w:rsidRDefault="002F35FD"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 xml:space="preserve">Leitsätze: </w:t>
      </w:r>
    </w:p>
    <w:p w:rsidR="002F35FD" w:rsidRPr="007E4D43" w:rsidRDefault="002F35FD" w:rsidP="007E4D43">
      <w:pPr>
        <w:jc w:val="both"/>
        <w:rPr>
          <w:rFonts w:ascii="Arial" w:hAnsi="Arial" w:cs="Arial"/>
          <w:sz w:val="20"/>
          <w:szCs w:val="20"/>
        </w:rPr>
      </w:pPr>
    </w:p>
    <w:p w:rsidR="00281C35" w:rsidRPr="007E4D43" w:rsidRDefault="00281C35" w:rsidP="007E4D43">
      <w:pPr>
        <w:jc w:val="both"/>
        <w:rPr>
          <w:rFonts w:ascii="Arial" w:hAnsi="Arial" w:cs="Arial"/>
          <w:sz w:val="20"/>
          <w:szCs w:val="20"/>
        </w:rPr>
      </w:pPr>
      <w:r w:rsidRPr="007E4D43">
        <w:rPr>
          <w:rFonts w:ascii="Arial" w:hAnsi="Arial" w:cs="Arial"/>
          <w:b/>
          <w:bCs/>
          <w:color w:val="002060"/>
          <w:sz w:val="20"/>
          <w:szCs w:val="20"/>
        </w:rPr>
        <w:t> </w:t>
      </w:r>
      <w:r w:rsidRPr="007E4D43">
        <w:rPr>
          <w:rFonts w:ascii="Arial" w:hAnsi="Arial" w:cs="Arial"/>
          <w:color w:val="002060"/>
          <w:sz w:val="20"/>
          <w:szCs w:val="20"/>
        </w:rPr>
        <w:t>1. Bei Anhängigkeit einer Verfassungsbeschwerde nach Art. 93 Abs. 1 Nr. 4a GG in einem Parallelverfahren kommt eine Aussetzung des Verfahrens in entsprechender Anwendung von § 148 Abs. 1 ZPO in Betracht.</w:t>
      </w: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2. In die erforderliche Gesamtabwägung sind neben anderen Aspekten auch die Erfolgsaussichten der eingelegten Verfassungsbeschwerde einzubeziehen. Eine Verfassungsbeschwerde, die offensichtlich keine Erfolgsaussichten hat, kann nicht Grundlage einer Aussetzungsentscheidung sein.</w:t>
      </w: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3. Die gegen das Urteil des Bundesarbeitsgerichts vom 24. Mai 2023 in der Sache 10 AZR 369/20 eingelegte Verfassungsbeschwerde ist nicht offensichtlich aussichtslos. Es bestehen insbesondere Zweifel daran, dass der objektive Sachgrund der "besseren Planbarkeit" bestimmter Formen von Nachtarbeit im Rahmen der Prüfung von Art. 3 Abs. 1 GG bei der unterschiedlichen Höhe von Nachtzuschlägen nur dann anzuerkennen sein soll, wenn er sich im Wege der Auslegung auch als subjektiver Differenzierungszweck der Tarifvertragsparteien darstellt.</w:t>
      </w:r>
    </w:p>
    <w:p w:rsidR="00281C35" w:rsidRDefault="00281C35" w:rsidP="007E4D43">
      <w:pPr>
        <w:jc w:val="both"/>
        <w:rPr>
          <w:rFonts w:ascii="Arial" w:hAnsi="Arial" w:cs="Arial"/>
          <w:color w:val="002060"/>
          <w:sz w:val="20"/>
          <w:szCs w:val="20"/>
        </w:rPr>
      </w:pPr>
      <w:r w:rsidRPr="007E4D43">
        <w:rPr>
          <w:rFonts w:ascii="Arial" w:hAnsi="Arial" w:cs="Arial"/>
          <w:color w:val="002060"/>
          <w:sz w:val="20"/>
          <w:szCs w:val="20"/>
        </w:rPr>
        <w:t> 4. Nicht die subjektive Willkür des Normgebers führt zur Feststellung eines Verstoßes gegen den allgemeinen Gleichheitssatz, sondern die objektive Unangemessenheit der Norm im Verhältnis zu der tatsächlichen Situation, die sie regeln soll. Mängel der Motive begründen im Rahmen von Art. 3 Abs. 1 GG für sich allein keine Verfassungswidrigkeit.</w:t>
      </w:r>
    </w:p>
    <w:p w:rsidR="002F35FD" w:rsidRPr="007E4D43" w:rsidRDefault="002F35FD"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Siehe:</w:t>
      </w:r>
    </w:p>
    <w:p w:rsidR="002F35FD" w:rsidRPr="007E4D43" w:rsidRDefault="002F35FD" w:rsidP="007E4D43">
      <w:pPr>
        <w:jc w:val="both"/>
        <w:rPr>
          <w:rFonts w:ascii="Arial" w:hAnsi="Arial" w:cs="Arial"/>
          <w:sz w:val="20"/>
          <w:szCs w:val="20"/>
        </w:rPr>
      </w:pP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hyperlink r:id="rId13" w:history="1">
        <w:r w:rsidR="001A2B37" w:rsidRPr="007E4D43">
          <w:rPr>
            <w:rStyle w:val="Hyperlink"/>
            <w:rFonts w:ascii="Arial" w:hAnsi="Arial" w:cs="Arial"/>
            <w:sz w:val="20"/>
            <w:szCs w:val="20"/>
          </w:rPr>
          <w:t>http://lrbw.juris.de/cgi-bin/laender_rechtsprechung/document.py?Gericht=bw&amp;GerichtAuswahl=Arbeitsgerichte&amp;Art=en&amp;Datum=2023&amp;Seite=0&amp;nr=39120&amp;pos=1&amp;anz=34</w:t>
        </w:r>
      </w:hyperlink>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p>
    <w:p w:rsidR="00281C35" w:rsidRPr="002201C4" w:rsidRDefault="00281C35" w:rsidP="002201C4">
      <w:pPr>
        <w:keepNext/>
        <w:jc w:val="center"/>
        <w:rPr>
          <w:rFonts w:ascii="Arial" w:hAnsi="Arial" w:cs="Arial"/>
          <w:b/>
          <w:sz w:val="20"/>
          <w:szCs w:val="20"/>
        </w:rPr>
      </w:pPr>
      <w:r w:rsidRPr="002201C4">
        <w:rPr>
          <w:rFonts w:ascii="Arial" w:hAnsi="Arial" w:cs="Arial"/>
          <w:b/>
          <w:sz w:val="20"/>
          <w:szCs w:val="20"/>
        </w:rPr>
        <w:t>VII.</w:t>
      </w:r>
    </w:p>
    <w:p w:rsidR="001A2B37" w:rsidRPr="007E4D43" w:rsidRDefault="00281C35" w:rsidP="00AC6C35">
      <w:pPr>
        <w:jc w:val="center"/>
        <w:rPr>
          <w:rFonts w:ascii="Arial" w:hAnsi="Arial" w:cs="Arial"/>
          <w:b/>
          <w:bCs/>
          <w:color w:val="002060"/>
          <w:sz w:val="20"/>
          <w:szCs w:val="20"/>
        </w:rPr>
      </w:pPr>
      <w:r w:rsidRPr="007E4D43">
        <w:rPr>
          <w:rFonts w:ascii="Arial" w:hAnsi="Arial" w:cs="Arial"/>
          <w:b/>
          <w:bCs/>
          <w:color w:val="002060"/>
          <w:sz w:val="20"/>
          <w:szCs w:val="20"/>
        </w:rPr>
        <w:t>Landesarbeitsgericht Köln</w:t>
      </w:r>
    </w:p>
    <w:p w:rsidR="00281C35" w:rsidRPr="002201C4" w:rsidRDefault="00281C35" w:rsidP="00AC6C35">
      <w:pPr>
        <w:jc w:val="center"/>
        <w:rPr>
          <w:rFonts w:ascii="Arial" w:hAnsi="Arial" w:cs="Arial"/>
          <w:bCs/>
          <w:color w:val="002060"/>
          <w:sz w:val="20"/>
          <w:szCs w:val="20"/>
        </w:rPr>
      </w:pPr>
      <w:r w:rsidRPr="002201C4">
        <w:rPr>
          <w:rFonts w:ascii="Arial" w:hAnsi="Arial" w:cs="Arial"/>
          <w:bCs/>
          <w:color w:val="002060"/>
          <w:sz w:val="20"/>
          <w:szCs w:val="20"/>
        </w:rPr>
        <w:t>Urteile vom 15.9.2023, 4 Sa 382/23 (4 Sa 383/23, 4 Sa 384/23 und 4 Sa 385/23 gleichlautend)</w:t>
      </w:r>
    </w:p>
    <w:p w:rsidR="00AC6C35" w:rsidRPr="002201C4" w:rsidRDefault="00AC6C35" w:rsidP="00AC6C35">
      <w:pPr>
        <w:jc w:val="center"/>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Schlagworte/Normen:</w:t>
      </w:r>
    </w:p>
    <w:p w:rsidR="00AC6C35" w:rsidRPr="007E4D43" w:rsidRDefault="00AC6C35"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rPr>
      </w:pPr>
      <w:r w:rsidRPr="007E4D43">
        <w:rPr>
          <w:rFonts w:ascii="Arial" w:hAnsi="Arial" w:cs="Arial"/>
          <w:b/>
          <w:bCs/>
          <w:color w:val="002060"/>
          <w:sz w:val="20"/>
          <w:szCs w:val="20"/>
        </w:rPr>
        <w:t> Auslegung einer Betriebsvereinbarung; Arbeitszeitkonten; Betriebsrisiko</w:t>
      </w:r>
    </w:p>
    <w:p w:rsidR="002F35FD" w:rsidRPr="007E4D43" w:rsidRDefault="002F35FD"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 xml:space="preserve">Leitsätze: </w:t>
      </w:r>
    </w:p>
    <w:p w:rsidR="002F35FD" w:rsidRPr="007E4D43" w:rsidRDefault="002F35FD" w:rsidP="007E4D43">
      <w:pPr>
        <w:jc w:val="both"/>
        <w:rPr>
          <w:rFonts w:ascii="Arial" w:hAnsi="Arial" w:cs="Arial"/>
          <w:sz w:val="20"/>
          <w:szCs w:val="20"/>
        </w:rPr>
      </w:pPr>
    </w:p>
    <w:p w:rsidR="00281C35" w:rsidRDefault="00281C35" w:rsidP="007E4D43">
      <w:pPr>
        <w:jc w:val="both"/>
        <w:rPr>
          <w:rFonts w:ascii="Arial" w:hAnsi="Arial" w:cs="Arial"/>
          <w:color w:val="002060"/>
          <w:sz w:val="20"/>
          <w:szCs w:val="20"/>
        </w:rPr>
      </w:pPr>
      <w:r w:rsidRPr="007E4D43">
        <w:rPr>
          <w:rFonts w:ascii="Arial" w:hAnsi="Arial" w:cs="Arial"/>
          <w:b/>
          <w:bCs/>
          <w:color w:val="002060"/>
          <w:sz w:val="20"/>
          <w:szCs w:val="20"/>
        </w:rPr>
        <w:t> </w:t>
      </w:r>
      <w:r w:rsidRPr="007E4D43">
        <w:rPr>
          <w:rFonts w:ascii="Arial" w:hAnsi="Arial" w:cs="Arial"/>
          <w:color w:val="002060"/>
          <w:sz w:val="20"/>
          <w:szCs w:val="20"/>
        </w:rPr>
        <w:t>Ermächtigt eine Betriebsvereinbarung den Arbeitgeber einseitig dazu, ein bereits erarbeitetes Guthaben auf einem Arbeitszeitkonto zu verwenden, um dem Arbeitnehmer künftig weniger Schichten zuteilen zu müssen, verschiebt diese Regelung in unrechtmäßiger Art und Weise das Betriebsrisiko auf den Arbeitnehmer, wenn der Arbeitnehmer nicht frei darüber entscheiden kann, ob und wie viele Schichten ihm zugeteilt werden.</w:t>
      </w:r>
    </w:p>
    <w:p w:rsidR="002F35FD" w:rsidRPr="007E4D43" w:rsidRDefault="002F35FD"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lastRenderedPageBreak/>
        <w:t> </w:t>
      </w:r>
      <w:r w:rsidRPr="007E4D43">
        <w:rPr>
          <w:rFonts w:ascii="Arial" w:hAnsi="Arial" w:cs="Arial"/>
          <w:b/>
          <w:bCs/>
          <w:color w:val="002060"/>
          <w:sz w:val="20"/>
          <w:szCs w:val="20"/>
          <w:u w:val="single"/>
        </w:rPr>
        <w:t>Siehe:</w:t>
      </w:r>
    </w:p>
    <w:p w:rsidR="002F35FD" w:rsidRPr="007E4D43" w:rsidRDefault="002F35FD" w:rsidP="007E4D43">
      <w:pPr>
        <w:jc w:val="both"/>
        <w:rPr>
          <w:rFonts w:ascii="Arial" w:hAnsi="Arial" w:cs="Arial"/>
          <w:sz w:val="20"/>
          <w:szCs w:val="20"/>
        </w:rPr>
      </w:pP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hyperlink r:id="rId14" w:history="1">
        <w:r w:rsidR="001A2B37" w:rsidRPr="007E4D43">
          <w:rPr>
            <w:rStyle w:val="Hyperlink"/>
            <w:rFonts w:ascii="Arial" w:hAnsi="Arial" w:cs="Arial"/>
            <w:sz w:val="20"/>
            <w:szCs w:val="20"/>
          </w:rPr>
          <w:t>https://www.justiz.nrw/nrwe/arbgs/koeln/lag_koeln/j2023/4_Sa_382_23_Urteil_20230915.html</w:t>
        </w:r>
      </w:hyperlink>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p>
    <w:p w:rsidR="00281C35" w:rsidRPr="002201C4" w:rsidRDefault="00281C35" w:rsidP="002201C4">
      <w:pPr>
        <w:keepNext/>
        <w:jc w:val="center"/>
        <w:rPr>
          <w:rFonts w:ascii="Arial" w:hAnsi="Arial" w:cs="Arial"/>
          <w:b/>
          <w:sz w:val="20"/>
          <w:szCs w:val="20"/>
        </w:rPr>
      </w:pPr>
      <w:r w:rsidRPr="002201C4">
        <w:rPr>
          <w:rFonts w:ascii="Arial" w:hAnsi="Arial" w:cs="Arial"/>
          <w:b/>
          <w:sz w:val="20"/>
          <w:szCs w:val="20"/>
        </w:rPr>
        <w:t>VIII.</w:t>
      </w:r>
    </w:p>
    <w:p w:rsidR="001A2B37" w:rsidRPr="007E4D43" w:rsidRDefault="00281C35" w:rsidP="00AC6C35">
      <w:pPr>
        <w:jc w:val="center"/>
        <w:rPr>
          <w:rFonts w:ascii="Arial" w:hAnsi="Arial" w:cs="Arial"/>
          <w:b/>
          <w:bCs/>
          <w:color w:val="002060"/>
          <w:sz w:val="20"/>
          <w:szCs w:val="20"/>
        </w:rPr>
      </w:pPr>
      <w:r w:rsidRPr="007E4D43">
        <w:rPr>
          <w:rFonts w:ascii="Arial" w:hAnsi="Arial" w:cs="Arial"/>
          <w:b/>
          <w:bCs/>
          <w:color w:val="002060"/>
          <w:sz w:val="20"/>
          <w:szCs w:val="20"/>
        </w:rPr>
        <w:t>Landesarbeitsgericht Köln</w:t>
      </w:r>
    </w:p>
    <w:p w:rsidR="00281C35" w:rsidRPr="002201C4" w:rsidRDefault="00281C35" w:rsidP="00AC6C35">
      <w:pPr>
        <w:jc w:val="center"/>
        <w:rPr>
          <w:rFonts w:ascii="Arial" w:hAnsi="Arial" w:cs="Arial"/>
          <w:bCs/>
          <w:color w:val="002060"/>
          <w:sz w:val="20"/>
          <w:szCs w:val="20"/>
        </w:rPr>
      </w:pPr>
      <w:r w:rsidRPr="002201C4">
        <w:rPr>
          <w:rFonts w:ascii="Arial" w:hAnsi="Arial" w:cs="Arial"/>
          <w:bCs/>
          <w:color w:val="002060"/>
          <w:sz w:val="20"/>
          <w:szCs w:val="20"/>
        </w:rPr>
        <w:t>Urteil vom 10.08.2023, 6 Sa 682/22</w:t>
      </w:r>
    </w:p>
    <w:p w:rsidR="00AC6C35" w:rsidRPr="007E4D43" w:rsidRDefault="00AC6C35" w:rsidP="00AC6C35">
      <w:pPr>
        <w:jc w:val="center"/>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Schlagworte/Normen:</w:t>
      </w:r>
    </w:p>
    <w:p w:rsidR="00AC6C35" w:rsidRPr="007E4D43" w:rsidRDefault="00AC6C35"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rPr>
      </w:pPr>
      <w:r w:rsidRPr="007E4D43">
        <w:rPr>
          <w:rFonts w:ascii="Arial" w:hAnsi="Arial" w:cs="Arial"/>
          <w:b/>
          <w:bCs/>
          <w:color w:val="002060"/>
          <w:sz w:val="20"/>
          <w:szCs w:val="20"/>
        </w:rPr>
        <w:t> Entgeltfortzahlung nach Eigenkündigung; Arbeitsunfähigkeitsbescheinigung; Erschütterung des Beweiswertes</w:t>
      </w:r>
    </w:p>
    <w:p w:rsidR="002F35FD" w:rsidRPr="007E4D43" w:rsidRDefault="002F35FD"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 xml:space="preserve">Leitsätze: </w:t>
      </w:r>
    </w:p>
    <w:p w:rsidR="002F35FD" w:rsidRPr="007E4D43" w:rsidRDefault="002F35FD" w:rsidP="007E4D43">
      <w:pPr>
        <w:jc w:val="both"/>
        <w:rPr>
          <w:rFonts w:ascii="Arial" w:hAnsi="Arial" w:cs="Arial"/>
          <w:sz w:val="20"/>
          <w:szCs w:val="20"/>
        </w:rPr>
      </w:pPr>
    </w:p>
    <w:p w:rsidR="00281C35" w:rsidRDefault="00281C35" w:rsidP="007E4D43">
      <w:pPr>
        <w:jc w:val="both"/>
        <w:rPr>
          <w:rFonts w:ascii="Arial" w:hAnsi="Arial" w:cs="Arial"/>
          <w:color w:val="002060"/>
          <w:sz w:val="20"/>
          <w:szCs w:val="20"/>
        </w:rPr>
      </w:pPr>
      <w:r w:rsidRPr="007E4D43">
        <w:rPr>
          <w:rFonts w:ascii="Arial" w:hAnsi="Arial" w:cs="Arial"/>
          <w:b/>
          <w:bCs/>
          <w:color w:val="002060"/>
          <w:sz w:val="20"/>
          <w:szCs w:val="20"/>
        </w:rPr>
        <w:t> </w:t>
      </w:r>
      <w:r w:rsidRPr="007E4D43">
        <w:rPr>
          <w:rFonts w:ascii="Arial" w:hAnsi="Arial" w:cs="Arial"/>
          <w:color w:val="002060"/>
          <w:sz w:val="20"/>
          <w:szCs w:val="20"/>
        </w:rPr>
        <w:t>Zum (vergeblichen) Versuch der Arbeitgeberin, den Beweiswert einer Arbeitsunfähigkeitsbescheinigung zu erschüttern, die die Arbeitnehmerin nach Ausspruch einer Eigenkündigung überreicht hatte.</w:t>
      </w:r>
    </w:p>
    <w:p w:rsidR="002F35FD" w:rsidRPr="007E4D43" w:rsidRDefault="002F35FD"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Siehe:</w:t>
      </w:r>
    </w:p>
    <w:p w:rsidR="002F35FD" w:rsidRPr="007E4D43" w:rsidRDefault="002F35FD" w:rsidP="007E4D43">
      <w:pPr>
        <w:jc w:val="both"/>
        <w:rPr>
          <w:rFonts w:ascii="Arial" w:hAnsi="Arial" w:cs="Arial"/>
          <w:sz w:val="20"/>
          <w:szCs w:val="20"/>
        </w:rPr>
      </w:pP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hyperlink r:id="rId15" w:history="1">
        <w:r w:rsidR="001A2B37" w:rsidRPr="007E4D43">
          <w:rPr>
            <w:rStyle w:val="Hyperlink"/>
            <w:rFonts w:ascii="Arial" w:hAnsi="Arial" w:cs="Arial"/>
            <w:sz w:val="20"/>
            <w:szCs w:val="20"/>
          </w:rPr>
          <w:t>https://www.justiz.nrw/nrwe/arbgs/koeln/lag_koeln/j2023/6_Sa_682_22_Urteil_20230810.html</w:t>
        </w:r>
      </w:hyperlink>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p>
    <w:p w:rsidR="00281C35" w:rsidRPr="002201C4" w:rsidRDefault="00281C35" w:rsidP="002201C4">
      <w:pPr>
        <w:keepNext/>
        <w:jc w:val="center"/>
        <w:rPr>
          <w:rFonts w:ascii="Arial" w:hAnsi="Arial" w:cs="Arial"/>
          <w:b/>
          <w:sz w:val="20"/>
          <w:szCs w:val="20"/>
        </w:rPr>
      </w:pPr>
      <w:r w:rsidRPr="002201C4">
        <w:rPr>
          <w:rFonts w:ascii="Arial" w:hAnsi="Arial" w:cs="Arial"/>
          <w:b/>
          <w:sz w:val="20"/>
          <w:szCs w:val="20"/>
        </w:rPr>
        <w:t>IX.</w:t>
      </w:r>
    </w:p>
    <w:p w:rsidR="001A2B37" w:rsidRPr="007E4D43" w:rsidRDefault="00281C35" w:rsidP="00AC6C35">
      <w:pPr>
        <w:jc w:val="center"/>
        <w:rPr>
          <w:rFonts w:ascii="Arial" w:hAnsi="Arial" w:cs="Arial"/>
          <w:b/>
          <w:bCs/>
          <w:color w:val="002060"/>
          <w:sz w:val="20"/>
          <w:szCs w:val="20"/>
        </w:rPr>
      </w:pPr>
      <w:r w:rsidRPr="007E4D43">
        <w:rPr>
          <w:rFonts w:ascii="Arial" w:hAnsi="Arial" w:cs="Arial"/>
          <w:b/>
          <w:bCs/>
          <w:color w:val="002060"/>
          <w:sz w:val="20"/>
          <w:szCs w:val="20"/>
        </w:rPr>
        <w:t>Landesarbeitsgericht Köln</w:t>
      </w:r>
    </w:p>
    <w:p w:rsidR="00281C35" w:rsidRPr="002201C4" w:rsidRDefault="00281C35" w:rsidP="00AC6C35">
      <w:pPr>
        <w:jc w:val="center"/>
        <w:rPr>
          <w:rFonts w:ascii="Arial" w:hAnsi="Arial" w:cs="Arial"/>
          <w:bCs/>
          <w:color w:val="002060"/>
          <w:sz w:val="20"/>
          <w:szCs w:val="20"/>
        </w:rPr>
      </w:pPr>
      <w:r w:rsidRPr="002201C4">
        <w:rPr>
          <w:rFonts w:ascii="Arial" w:hAnsi="Arial" w:cs="Arial"/>
          <w:bCs/>
          <w:color w:val="002060"/>
          <w:sz w:val="20"/>
          <w:szCs w:val="20"/>
        </w:rPr>
        <w:t>Urteil vom 12.09.2023, 4 Sa 12/23</w:t>
      </w:r>
    </w:p>
    <w:p w:rsidR="00AC6C35" w:rsidRPr="002201C4" w:rsidRDefault="00AC6C35" w:rsidP="00AC6C35">
      <w:pPr>
        <w:jc w:val="center"/>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Schlagworte/Normen:</w:t>
      </w:r>
    </w:p>
    <w:p w:rsidR="00AC6C35" w:rsidRPr="007E4D43" w:rsidRDefault="00AC6C35" w:rsidP="007E4D43">
      <w:pPr>
        <w:jc w:val="both"/>
        <w:rPr>
          <w:rFonts w:ascii="Arial" w:hAnsi="Arial" w:cs="Arial"/>
          <w:sz w:val="20"/>
          <w:szCs w:val="20"/>
        </w:rPr>
      </w:pPr>
    </w:p>
    <w:p w:rsidR="00281C35" w:rsidRPr="007E4D43" w:rsidRDefault="00281C35" w:rsidP="007E4D43">
      <w:pPr>
        <w:jc w:val="both"/>
        <w:rPr>
          <w:rFonts w:ascii="Arial" w:hAnsi="Arial" w:cs="Arial"/>
          <w:sz w:val="20"/>
          <w:szCs w:val="20"/>
        </w:rPr>
      </w:pPr>
      <w:r w:rsidRPr="007E4D43">
        <w:rPr>
          <w:rFonts w:ascii="Arial" w:hAnsi="Arial" w:cs="Arial"/>
          <w:b/>
          <w:bCs/>
          <w:color w:val="002060"/>
          <w:sz w:val="20"/>
          <w:szCs w:val="20"/>
        </w:rPr>
        <w:t> § 109 GewO</w:t>
      </w:r>
    </w:p>
    <w:p w:rsidR="00281C35" w:rsidRPr="007E4D43" w:rsidRDefault="00281C35" w:rsidP="007E4D43">
      <w:pPr>
        <w:jc w:val="both"/>
        <w:rPr>
          <w:rFonts w:ascii="Arial" w:hAnsi="Arial" w:cs="Arial"/>
          <w:sz w:val="20"/>
          <w:szCs w:val="20"/>
        </w:rPr>
      </w:pPr>
      <w:r w:rsidRPr="007E4D43">
        <w:rPr>
          <w:rFonts w:ascii="Arial" w:hAnsi="Arial" w:cs="Arial"/>
          <w:b/>
          <w:bCs/>
          <w:color w:val="002060"/>
          <w:sz w:val="20"/>
          <w:szCs w:val="20"/>
        </w:rPr>
        <w:t> </w:t>
      </w:r>
      <w:r w:rsidRPr="007E4D43">
        <w:rPr>
          <w:rFonts w:ascii="Arial" w:hAnsi="Arial" w:cs="Arial"/>
          <w:b/>
          <w:bCs/>
          <w:color w:val="002060"/>
          <w:sz w:val="20"/>
          <w:szCs w:val="20"/>
          <w:u w:val="single"/>
        </w:rPr>
        <w:t xml:space="preserve">Leitsätze: </w:t>
      </w:r>
    </w:p>
    <w:p w:rsidR="00281C35" w:rsidRPr="007E4D43" w:rsidRDefault="00281C35" w:rsidP="007E4D43">
      <w:pPr>
        <w:jc w:val="both"/>
        <w:rPr>
          <w:rFonts w:ascii="Arial" w:hAnsi="Arial" w:cs="Arial"/>
          <w:sz w:val="20"/>
          <w:szCs w:val="20"/>
        </w:rPr>
      </w:pPr>
      <w:r w:rsidRPr="007E4D43">
        <w:rPr>
          <w:rFonts w:ascii="Arial" w:hAnsi="Arial" w:cs="Arial"/>
          <w:b/>
          <w:bCs/>
          <w:color w:val="002060"/>
          <w:sz w:val="20"/>
          <w:szCs w:val="20"/>
        </w:rPr>
        <w:t> </w:t>
      </w: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Darlegungslast bei Zeugnisberichtigung; Bindungswirkung eines Zwischenzeugnisses; Anspruch auf Verwendung des Geschäftspapiers</w:t>
      </w:r>
    </w:p>
    <w:p w:rsidR="00281C35" w:rsidRPr="007E4D43" w:rsidRDefault="00281C35" w:rsidP="007E4D43">
      <w:pPr>
        <w:jc w:val="both"/>
        <w:rPr>
          <w:rFonts w:ascii="Arial" w:hAnsi="Arial" w:cs="Arial"/>
          <w:sz w:val="20"/>
          <w:szCs w:val="20"/>
        </w:rPr>
      </w:pPr>
      <w:r w:rsidRPr="007E4D43">
        <w:rPr>
          <w:rFonts w:ascii="Arial" w:hAnsi="Arial" w:cs="Arial"/>
          <w:b/>
          <w:bCs/>
          <w:color w:val="002060"/>
          <w:sz w:val="20"/>
          <w:szCs w:val="20"/>
        </w:rPr>
        <w:t> </w:t>
      </w:r>
      <w:r w:rsidRPr="007E4D43">
        <w:rPr>
          <w:rFonts w:ascii="Arial" w:hAnsi="Arial" w:cs="Arial"/>
          <w:b/>
          <w:bCs/>
          <w:color w:val="002060"/>
          <w:sz w:val="20"/>
          <w:szCs w:val="20"/>
          <w:u w:val="single"/>
        </w:rPr>
        <w:t>Siehe:</w:t>
      </w: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hyperlink r:id="rId16" w:history="1">
        <w:r w:rsidR="001A2B37" w:rsidRPr="007E4D43">
          <w:rPr>
            <w:rStyle w:val="Hyperlink"/>
            <w:rFonts w:ascii="Arial" w:hAnsi="Arial" w:cs="Arial"/>
            <w:sz w:val="20"/>
            <w:szCs w:val="20"/>
          </w:rPr>
          <w:t>https://www.justiz.nrw/nrwe/arbgs/koeln/lag_koeln/j2023/4_Sa_12_23_Urteil_20230912.html</w:t>
        </w:r>
      </w:hyperlink>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p>
    <w:p w:rsidR="00281C35" w:rsidRPr="002201C4" w:rsidRDefault="00281C35" w:rsidP="002201C4">
      <w:pPr>
        <w:keepNext/>
        <w:jc w:val="center"/>
        <w:rPr>
          <w:rFonts w:ascii="Arial" w:hAnsi="Arial" w:cs="Arial"/>
          <w:b/>
          <w:sz w:val="20"/>
          <w:szCs w:val="20"/>
        </w:rPr>
      </w:pPr>
      <w:r w:rsidRPr="002201C4">
        <w:rPr>
          <w:rFonts w:ascii="Arial" w:hAnsi="Arial" w:cs="Arial"/>
          <w:b/>
          <w:sz w:val="20"/>
          <w:szCs w:val="20"/>
        </w:rPr>
        <w:t>X.</w:t>
      </w:r>
    </w:p>
    <w:p w:rsidR="001A2B37" w:rsidRPr="007E4D43" w:rsidRDefault="00281C35" w:rsidP="00AC6C35">
      <w:pPr>
        <w:jc w:val="center"/>
        <w:rPr>
          <w:rFonts w:ascii="Arial" w:hAnsi="Arial" w:cs="Arial"/>
          <w:b/>
          <w:bCs/>
          <w:color w:val="002060"/>
          <w:sz w:val="20"/>
          <w:szCs w:val="20"/>
        </w:rPr>
      </w:pPr>
      <w:r w:rsidRPr="007E4D43">
        <w:rPr>
          <w:rFonts w:ascii="Arial" w:hAnsi="Arial" w:cs="Arial"/>
          <w:b/>
          <w:bCs/>
          <w:color w:val="002060"/>
          <w:sz w:val="20"/>
          <w:szCs w:val="20"/>
        </w:rPr>
        <w:t>Landesarbeitsgericht Düsseldorf</w:t>
      </w:r>
    </w:p>
    <w:p w:rsidR="00281C35" w:rsidRPr="002201C4" w:rsidRDefault="00281C35" w:rsidP="00AC6C35">
      <w:pPr>
        <w:jc w:val="center"/>
        <w:rPr>
          <w:rFonts w:ascii="Arial" w:hAnsi="Arial" w:cs="Arial"/>
          <w:bCs/>
          <w:color w:val="002060"/>
          <w:sz w:val="20"/>
          <w:szCs w:val="20"/>
        </w:rPr>
      </w:pPr>
      <w:r w:rsidRPr="002201C4">
        <w:rPr>
          <w:rFonts w:ascii="Arial" w:hAnsi="Arial" w:cs="Arial"/>
          <w:bCs/>
          <w:color w:val="002060"/>
          <w:sz w:val="20"/>
          <w:szCs w:val="20"/>
        </w:rPr>
        <w:t>Beschluss vom 5.10.2023, 3 Ta 240/23</w:t>
      </w:r>
    </w:p>
    <w:p w:rsidR="00AC6C35" w:rsidRPr="007E4D43" w:rsidRDefault="00AC6C35" w:rsidP="00AC6C35">
      <w:pPr>
        <w:jc w:val="center"/>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Schlagworte/Normen:</w:t>
      </w:r>
    </w:p>
    <w:p w:rsidR="00AC6C35" w:rsidRPr="007E4D43" w:rsidRDefault="00AC6C35"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rPr>
      </w:pPr>
      <w:r w:rsidRPr="007E4D43">
        <w:rPr>
          <w:rFonts w:ascii="Arial" w:hAnsi="Arial" w:cs="Arial"/>
          <w:b/>
          <w:bCs/>
          <w:color w:val="002060"/>
          <w:sz w:val="20"/>
          <w:szCs w:val="20"/>
        </w:rPr>
        <w:t> Energiepauschale; Rechtsweg</w:t>
      </w:r>
    </w:p>
    <w:p w:rsidR="002F35FD" w:rsidRPr="007E4D43" w:rsidRDefault="002F35FD"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 xml:space="preserve">Leitsätze: </w:t>
      </w:r>
    </w:p>
    <w:p w:rsidR="002F35FD" w:rsidRPr="007E4D43" w:rsidRDefault="002F35FD" w:rsidP="007E4D43">
      <w:pPr>
        <w:jc w:val="both"/>
        <w:rPr>
          <w:rFonts w:ascii="Arial" w:hAnsi="Arial" w:cs="Arial"/>
          <w:sz w:val="20"/>
          <w:szCs w:val="20"/>
        </w:rPr>
      </w:pP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xml:space="preserve">1. Für die Klage eines Arbeitnehmers gegen seinen Arbeitgeber auf Zahlung der Energiepreispauschale nach §§ 112 ff., 117 EStG ist der Rechtsweg zu den Arbeitsgerichten mangels bürgerlicher Rechtsstreitigkeit nicht eröffnet. </w:t>
      </w:r>
    </w:p>
    <w:p w:rsidR="00281C35" w:rsidRDefault="00281C35" w:rsidP="007E4D43">
      <w:pPr>
        <w:jc w:val="both"/>
        <w:rPr>
          <w:rFonts w:ascii="Arial" w:hAnsi="Arial" w:cs="Arial"/>
          <w:color w:val="002060"/>
          <w:sz w:val="20"/>
          <w:szCs w:val="20"/>
        </w:rPr>
      </w:pPr>
      <w:r w:rsidRPr="007E4D43">
        <w:rPr>
          <w:rFonts w:ascii="Arial" w:hAnsi="Arial" w:cs="Arial"/>
          <w:color w:val="002060"/>
          <w:sz w:val="20"/>
          <w:szCs w:val="20"/>
        </w:rPr>
        <w:t>2. Eröffnet ist vielmehr, da es sich um eine öffentlich-rechtliche Abgabenstreitigkeit handelt, bei der der Arbeitgeber lediglich als "Erfüllungsgehilfe" bzw. "Zahlstelle" der Finanzverwaltung fungiert, allein der Rechtsweg zu den Finanzgerichten nach § 33 Abs. 1 Nr. 1 FGO.</w:t>
      </w:r>
    </w:p>
    <w:p w:rsidR="002F35FD" w:rsidRPr="007E4D43" w:rsidRDefault="002F35FD"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Siehe:</w:t>
      </w:r>
    </w:p>
    <w:p w:rsidR="002F35FD" w:rsidRPr="007E4D43" w:rsidRDefault="002F35FD" w:rsidP="007E4D43">
      <w:pPr>
        <w:jc w:val="both"/>
        <w:rPr>
          <w:rFonts w:ascii="Arial" w:hAnsi="Arial" w:cs="Arial"/>
          <w:sz w:val="20"/>
          <w:szCs w:val="20"/>
        </w:rPr>
      </w:pP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hyperlink r:id="rId17" w:history="1">
        <w:r w:rsidR="00FE1D1D" w:rsidRPr="007E4D43">
          <w:rPr>
            <w:rStyle w:val="Hyperlink"/>
            <w:rFonts w:ascii="Arial" w:hAnsi="Arial" w:cs="Arial"/>
            <w:sz w:val="20"/>
            <w:szCs w:val="20"/>
          </w:rPr>
          <w:t>https://www.justiz.nrw/nrwe/arbgs/duesseldorf/lag_duesseldorf/j2023/NRWE_LAG_D_sseldorf_3_Ta_240_23_Beschluss_20231005.html</w:t>
        </w:r>
      </w:hyperlink>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p>
    <w:p w:rsidR="00281C35" w:rsidRPr="002201C4" w:rsidRDefault="00281C35" w:rsidP="002201C4">
      <w:pPr>
        <w:keepNext/>
        <w:jc w:val="center"/>
        <w:rPr>
          <w:rFonts w:ascii="Arial" w:hAnsi="Arial" w:cs="Arial"/>
          <w:b/>
          <w:sz w:val="20"/>
          <w:szCs w:val="20"/>
        </w:rPr>
      </w:pPr>
      <w:r w:rsidRPr="002201C4">
        <w:rPr>
          <w:rFonts w:ascii="Arial" w:hAnsi="Arial" w:cs="Arial"/>
          <w:b/>
          <w:sz w:val="20"/>
          <w:szCs w:val="20"/>
        </w:rPr>
        <w:lastRenderedPageBreak/>
        <w:t>XI.</w:t>
      </w:r>
    </w:p>
    <w:p w:rsidR="00FE1D1D" w:rsidRPr="007E4D43" w:rsidRDefault="00281C35" w:rsidP="007E4D43">
      <w:pPr>
        <w:jc w:val="center"/>
        <w:rPr>
          <w:rFonts w:ascii="Arial" w:hAnsi="Arial" w:cs="Arial"/>
          <w:b/>
          <w:bCs/>
          <w:color w:val="002060"/>
          <w:sz w:val="20"/>
          <w:szCs w:val="20"/>
        </w:rPr>
      </w:pPr>
      <w:r w:rsidRPr="007E4D43">
        <w:rPr>
          <w:rFonts w:ascii="Arial" w:hAnsi="Arial" w:cs="Arial"/>
          <w:b/>
          <w:bCs/>
          <w:color w:val="002060"/>
          <w:sz w:val="20"/>
          <w:szCs w:val="20"/>
        </w:rPr>
        <w:t>Landesarbeitsgericht Hamm</w:t>
      </w:r>
    </w:p>
    <w:p w:rsidR="00281C35" w:rsidRPr="002201C4" w:rsidRDefault="00281C35" w:rsidP="007E4D43">
      <w:pPr>
        <w:jc w:val="center"/>
        <w:rPr>
          <w:rFonts w:ascii="Arial" w:hAnsi="Arial" w:cs="Arial"/>
          <w:bCs/>
          <w:color w:val="002060"/>
          <w:sz w:val="20"/>
          <w:szCs w:val="20"/>
        </w:rPr>
      </w:pPr>
      <w:r w:rsidRPr="002201C4">
        <w:rPr>
          <w:rFonts w:ascii="Arial" w:hAnsi="Arial" w:cs="Arial"/>
          <w:bCs/>
          <w:color w:val="002060"/>
          <w:sz w:val="20"/>
          <w:szCs w:val="20"/>
        </w:rPr>
        <w:t>Urteil vom 24.08.2023, 15 Sa 1033/22</w:t>
      </w:r>
    </w:p>
    <w:p w:rsidR="007E4D43" w:rsidRPr="002201C4" w:rsidRDefault="007E4D43" w:rsidP="007E4D43">
      <w:pPr>
        <w:jc w:val="center"/>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Schlagworte/Normen:</w:t>
      </w:r>
    </w:p>
    <w:p w:rsidR="007E4D43" w:rsidRPr="007E4D43" w:rsidRDefault="007E4D43"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rPr>
      </w:pPr>
      <w:r w:rsidRPr="007E4D43">
        <w:rPr>
          <w:rFonts w:ascii="Arial" w:hAnsi="Arial" w:cs="Arial"/>
          <w:b/>
          <w:bCs/>
          <w:color w:val="002060"/>
          <w:sz w:val="20"/>
          <w:szCs w:val="20"/>
        </w:rPr>
        <w:t> Entgeltfortzahlung im Krankheitsfall; Corona-Infektion eines nicht geimpften Arbeit-nehmers; Quarantäne; Monokausalität; Verschulden; Leistungsverweigerungsrecht</w:t>
      </w:r>
    </w:p>
    <w:p w:rsidR="002F35FD" w:rsidRPr="007E4D43" w:rsidRDefault="002F35FD" w:rsidP="007E4D43">
      <w:pPr>
        <w:jc w:val="both"/>
        <w:rPr>
          <w:rFonts w:ascii="Arial" w:hAnsi="Arial" w:cs="Arial"/>
          <w:sz w:val="20"/>
          <w:szCs w:val="20"/>
        </w:rPr>
      </w:pPr>
    </w:p>
    <w:p w:rsidR="00281C35" w:rsidRPr="007E4D43" w:rsidRDefault="00281C35" w:rsidP="007E4D43">
      <w:pPr>
        <w:jc w:val="both"/>
        <w:rPr>
          <w:rFonts w:ascii="Arial" w:hAnsi="Arial" w:cs="Arial"/>
          <w:sz w:val="20"/>
          <w:szCs w:val="20"/>
        </w:rPr>
      </w:pPr>
      <w:r w:rsidRPr="007E4D43">
        <w:rPr>
          <w:rFonts w:ascii="Arial" w:hAnsi="Arial" w:cs="Arial"/>
          <w:b/>
          <w:bCs/>
          <w:color w:val="002060"/>
          <w:sz w:val="20"/>
          <w:szCs w:val="20"/>
        </w:rPr>
        <w:t> </w:t>
      </w:r>
      <w:r w:rsidRPr="007E4D43">
        <w:rPr>
          <w:rFonts w:ascii="Arial" w:hAnsi="Arial" w:cs="Arial"/>
          <w:b/>
          <w:bCs/>
          <w:color w:val="002060"/>
          <w:sz w:val="20"/>
          <w:szCs w:val="20"/>
          <w:u w:val="single"/>
        </w:rPr>
        <w:t xml:space="preserve">Leitsätze: </w:t>
      </w:r>
    </w:p>
    <w:p w:rsidR="00281C35" w:rsidRPr="007E4D43" w:rsidRDefault="00281C35" w:rsidP="007E4D43">
      <w:pPr>
        <w:jc w:val="both"/>
        <w:rPr>
          <w:rFonts w:ascii="Arial" w:hAnsi="Arial" w:cs="Arial"/>
          <w:sz w:val="20"/>
          <w:szCs w:val="20"/>
        </w:rPr>
      </w:pPr>
      <w:r w:rsidRPr="007E4D43">
        <w:rPr>
          <w:rFonts w:ascii="Arial" w:hAnsi="Arial" w:cs="Arial"/>
          <w:b/>
          <w:bCs/>
          <w:color w:val="002060"/>
          <w:sz w:val="20"/>
          <w:szCs w:val="20"/>
        </w:rPr>
        <w:t> </w:t>
      </w:r>
    </w:p>
    <w:p w:rsidR="00281C35" w:rsidRPr="007E4D43" w:rsidRDefault="00281C35" w:rsidP="007E4D43">
      <w:pPr>
        <w:numPr>
          <w:ilvl w:val="0"/>
          <w:numId w:val="18"/>
        </w:numPr>
        <w:ind w:left="0"/>
        <w:jc w:val="both"/>
        <w:rPr>
          <w:rFonts w:ascii="Arial" w:hAnsi="Arial" w:cs="Arial"/>
          <w:color w:val="002060"/>
          <w:sz w:val="20"/>
          <w:szCs w:val="20"/>
        </w:rPr>
      </w:pPr>
      <w:r w:rsidRPr="007E4D43">
        <w:rPr>
          <w:rFonts w:ascii="Arial" w:hAnsi="Arial" w:cs="Arial"/>
          <w:color w:val="002060"/>
          <w:sz w:val="20"/>
          <w:szCs w:val="20"/>
        </w:rPr>
        <w:t xml:space="preserve">1. </w:t>
      </w: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xml:space="preserve">Ein an COVID-19 erkrankter Arbeitnehmer ist infolge Krankheit objektiv an seiner Arbeitsleistung verhindert, wenn er sich in Quarantäne begeben muss, es sei denn, der Arbeitgeber kann von ihm verlangen, im Homeoffice zu arbeiten. Die erforderliche Monokausalität </w:t>
      </w:r>
      <w:proofErr w:type="spellStart"/>
      <w:r w:rsidRPr="007E4D43">
        <w:rPr>
          <w:rFonts w:ascii="Arial" w:hAnsi="Arial" w:cs="Arial"/>
          <w:color w:val="002060"/>
          <w:sz w:val="20"/>
          <w:szCs w:val="20"/>
        </w:rPr>
        <w:t>iSv</w:t>
      </w:r>
      <w:proofErr w:type="spellEnd"/>
      <w:r w:rsidRPr="007E4D43">
        <w:rPr>
          <w:rFonts w:ascii="Arial" w:hAnsi="Arial" w:cs="Arial"/>
          <w:color w:val="002060"/>
          <w:sz w:val="20"/>
          <w:szCs w:val="20"/>
        </w:rPr>
        <w:t>. § 3 Abs. 1 S. 1 EFZG ist gegeben, wenn die behördlich angeordnete Quarantäne Folge einer Arbeitsunfähigkeit ist.</w:t>
      </w:r>
    </w:p>
    <w:p w:rsidR="00281C35" w:rsidRPr="007E4D43" w:rsidRDefault="00281C35" w:rsidP="007E4D43">
      <w:pPr>
        <w:numPr>
          <w:ilvl w:val="0"/>
          <w:numId w:val="19"/>
        </w:numPr>
        <w:ind w:left="0"/>
        <w:jc w:val="both"/>
        <w:rPr>
          <w:rFonts w:ascii="Arial" w:hAnsi="Arial" w:cs="Arial"/>
          <w:color w:val="002060"/>
          <w:sz w:val="20"/>
          <w:szCs w:val="20"/>
        </w:rPr>
      </w:pPr>
      <w:r w:rsidRPr="007E4D43">
        <w:rPr>
          <w:rFonts w:ascii="Arial" w:hAnsi="Arial" w:cs="Arial"/>
          <w:color w:val="002060"/>
          <w:sz w:val="20"/>
          <w:szCs w:val="20"/>
        </w:rPr>
        <w:t xml:space="preserve">2. </w:t>
      </w: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Für den Verschuldensmaßstab des § 3 EFZG ist nicht auf § 56 Abs. 1 S. 4 IfSG abzustellen.</w:t>
      </w:r>
    </w:p>
    <w:p w:rsidR="00281C35" w:rsidRPr="007E4D43" w:rsidRDefault="00281C35" w:rsidP="007E4D43">
      <w:pPr>
        <w:numPr>
          <w:ilvl w:val="0"/>
          <w:numId w:val="20"/>
        </w:numPr>
        <w:ind w:left="0"/>
        <w:jc w:val="both"/>
        <w:rPr>
          <w:rFonts w:ascii="Arial" w:hAnsi="Arial" w:cs="Arial"/>
          <w:color w:val="002060"/>
          <w:sz w:val="20"/>
          <w:szCs w:val="20"/>
        </w:rPr>
      </w:pPr>
      <w:r w:rsidRPr="007E4D43">
        <w:rPr>
          <w:rFonts w:ascii="Arial" w:hAnsi="Arial" w:cs="Arial"/>
          <w:color w:val="002060"/>
          <w:sz w:val="20"/>
          <w:szCs w:val="20"/>
        </w:rPr>
        <w:t xml:space="preserve">3. </w:t>
      </w: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xml:space="preserve">Ein Verschulden </w:t>
      </w:r>
      <w:proofErr w:type="spellStart"/>
      <w:r w:rsidRPr="007E4D43">
        <w:rPr>
          <w:rFonts w:ascii="Arial" w:hAnsi="Arial" w:cs="Arial"/>
          <w:color w:val="002060"/>
          <w:sz w:val="20"/>
          <w:szCs w:val="20"/>
        </w:rPr>
        <w:t>iSv</w:t>
      </w:r>
      <w:proofErr w:type="spellEnd"/>
      <w:r w:rsidRPr="007E4D43">
        <w:rPr>
          <w:rFonts w:ascii="Arial" w:hAnsi="Arial" w:cs="Arial"/>
          <w:color w:val="002060"/>
          <w:sz w:val="20"/>
          <w:szCs w:val="20"/>
        </w:rPr>
        <w:t>. § 3 Abs. 1 S. 1 EFZG ist nicht anzunehmen, wenn die Corona-Infektion durch die Inanspruchnahme der empfohlenen Schutzimpfung nicht mit hoher Wahrscheinlichkeit hätte verhindert werden können (Verschulden vorliegend vor dem Hintergrund des Infektionsgeschehens Ende Dezember 2021 verneint).</w:t>
      </w:r>
    </w:p>
    <w:p w:rsidR="00281C35" w:rsidRPr="007E4D43" w:rsidRDefault="00281C35" w:rsidP="007E4D43">
      <w:pPr>
        <w:numPr>
          <w:ilvl w:val="0"/>
          <w:numId w:val="21"/>
        </w:numPr>
        <w:ind w:left="0"/>
        <w:jc w:val="both"/>
        <w:rPr>
          <w:rFonts w:ascii="Arial" w:hAnsi="Arial" w:cs="Arial"/>
          <w:color w:val="002060"/>
          <w:sz w:val="20"/>
          <w:szCs w:val="20"/>
        </w:rPr>
      </w:pPr>
      <w:r w:rsidRPr="007E4D43">
        <w:rPr>
          <w:rFonts w:ascii="Arial" w:hAnsi="Arial" w:cs="Arial"/>
          <w:color w:val="002060"/>
          <w:sz w:val="20"/>
          <w:szCs w:val="20"/>
        </w:rPr>
        <w:t xml:space="preserve">4. </w:t>
      </w:r>
    </w:p>
    <w:p w:rsidR="00281C35" w:rsidRDefault="00281C35" w:rsidP="007E4D43">
      <w:pPr>
        <w:jc w:val="both"/>
        <w:rPr>
          <w:rFonts w:ascii="Arial" w:hAnsi="Arial" w:cs="Arial"/>
          <w:color w:val="002060"/>
          <w:sz w:val="20"/>
          <w:szCs w:val="20"/>
        </w:rPr>
      </w:pPr>
      <w:r w:rsidRPr="007E4D43">
        <w:rPr>
          <w:rFonts w:ascii="Arial" w:hAnsi="Arial" w:cs="Arial"/>
          <w:color w:val="002060"/>
          <w:sz w:val="20"/>
          <w:szCs w:val="20"/>
        </w:rPr>
        <w:t>Ein vorläufiges Leistungsverweigerungsrecht nach § 7 Abs. 1 Nr. 1 EFZG besteht nicht, wenn der Arbeitnehmer dem Arbeitgeber die Fortdauer der krankheitsbedingten Arbeitsunfähigkeit anders als durch Vorlage einer entsprechenden ärztlichen Bescheinigung nachweist.</w:t>
      </w:r>
    </w:p>
    <w:p w:rsidR="002F35FD" w:rsidRPr="007E4D43" w:rsidRDefault="002F35FD"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Siehe:</w:t>
      </w:r>
    </w:p>
    <w:p w:rsidR="002F35FD" w:rsidRPr="007E4D43" w:rsidRDefault="002F35FD" w:rsidP="007E4D43">
      <w:pPr>
        <w:jc w:val="both"/>
        <w:rPr>
          <w:rFonts w:ascii="Arial" w:hAnsi="Arial" w:cs="Arial"/>
          <w:sz w:val="20"/>
          <w:szCs w:val="20"/>
        </w:rPr>
      </w:pPr>
    </w:p>
    <w:p w:rsidR="00281C35" w:rsidRDefault="00281C35" w:rsidP="007E4D43">
      <w:pPr>
        <w:jc w:val="both"/>
        <w:rPr>
          <w:rFonts w:ascii="Arial" w:hAnsi="Arial" w:cs="Arial"/>
          <w:color w:val="002060"/>
          <w:sz w:val="20"/>
          <w:szCs w:val="20"/>
          <w:u w:val="single"/>
        </w:rPr>
      </w:pPr>
      <w:r w:rsidRPr="007E4D43">
        <w:rPr>
          <w:rFonts w:ascii="Arial" w:hAnsi="Arial" w:cs="Arial"/>
          <w:color w:val="002060"/>
          <w:sz w:val="20"/>
          <w:szCs w:val="20"/>
        </w:rPr>
        <w:t> </w:t>
      </w:r>
      <w:hyperlink r:id="rId18" w:history="1">
        <w:r w:rsidR="00FE1D1D" w:rsidRPr="007E4D43">
          <w:rPr>
            <w:rStyle w:val="Hyperlink"/>
            <w:rFonts w:ascii="Arial" w:hAnsi="Arial" w:cs="Arial"/>
            <w:sz w:val="20"/>
            <w:szCs w:val="20"/>
          </w:rPr>
          <w:t>https://www.justiz.nrw/nrwe/arbgs/hamm/lag_hamm/j2023/15_Sa_1033_22_Urteil_20230824.html</w:t>
        </w:r>
      </w:hyperlink>
    </w:p>
    <w:p w:rsidR="002F35FD" w:rsidRPr="007E4D43" w:rsidRDefault="002F35FD" w:rsidP="007E4D43">
      <w:pPr>
        <w:jc w:val="both"/>
        <w:rPr>
          <w:rFonts w:ascii="Arial" w:hAnsi="Arial" w:cs="Arial"/>
          <w:sz w:val="20"/>
          <w:szCs w:val="20"/>
        </w:rPr>
      </w:pP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p>
    <w:p w:rsidR="00281C35" w:rsidRPr="002201C4" w:rsidRDefault="002201C4" w:rsidP="002201C4">
      <w:pPr>
        <w:keepNext/>
        <w:jc w:val="center"/>
        <w:rPr>
          <w:rFonts w:ascii="Arial" w:hAnsi="Arial" w:cs="Arial"/>
          <w:b/>
          <w:sz w:val="20"/>
          <w:szCs w:val="20"/>
        </w:rPr>
      </w:pPr>
      <w:r>
        <w:rPr>
          <w:rFonts w:ascii="Arial" w:hAnsi="Arial" w:cs="Arial"/>
          <w:b/>
          <w:sz w:val="20"/>
          <w:szCs w:val="20"/>
        </w:rPr>
        <w:t>XI</w:t>
      </w:r>
      <w:r w:rsidR="00281C35" w:rsidRPr="002201C4">
        <w:rPr>
          <w:rFonts w:ascii="Arial" w:hAnsi="Arial" w:cs="Arial"/>
          <w:b/>
          <w:sz w:val="20"/>
          <w:szCs w:val="20"/>
        </w:rPr>
        <w:t>I.</w:t>
      </w:r>
    </w:p>
    <w:p w:rsidR="00FE1D1D" w:rsidRPr="007E4D43" w:rsidRDefault="00281C35" w:rsidP="007E4D43">
      <w:pPr>
        <w:jc w:val="center"/>
        <w:rPr>
          <w:rFonts w:ascii="Arial" w:hAnsi="Arial" w:cs="Arial"/>
          <w:b/>
          <w:bCs/>
          <w:color w:val="002060"/>
          <w:sz w:val="20"/>
          <w:szCs w:val="20"/>
        </w:rPr>
      </w:pPr>
      <w:r w:rsidRPr="007E4D43">
        <w:rPr>
          <w:rFonts w:ascii="Arial" w:hAnsi="Arial" w:cs="Arial"/>
          <w:b/>
          <w:bCs/>
          <w:color w:val="002060"/>
          <w:sz w:val="20"/>
          <w:szCs w:val="20"/>
        </w:rPr>
        <w:t>Landesarbeitsgericht Hamm</w:t>
      </w:r>
    </w:p>
    <w:p w:rsidR="00281C35" w:rsidRPr="00B816EE" w:rsidRDefault="00281C35" w:rsidP="007E4D43">
      <w:pPr>
        <w:jc w:val="center"/>
        <w:rPr>
          <w:rFonts w:ascii="Arial" w:hAnsi="Arial" w:cs="Arial"/>
          <w:bCs/>
          <w:color w:val="002060"/>
          <w:sz w:val="20"/>
          <w:szCs w:val="20"/>
        </w:rPr>
      </w:pPr>
      <w:r w:rsidRPr="00B816EE">
        <w:rPr>
          <w:rFonts w:ascii="Arial" w:hAnsi="Arial" w:cs="Arial"/>
          <w:bCs/>
          <w:color w:val="002060"/>
          <w:sz w:val="20"/>
          <w:szCs w:val="20"/>
        </w:rPr>
        <w:t>Urteil vom 23.08.2023, 9 Sa 538/22</w:t>
      </w:r>
    </w:p>
    <w:p w:rsidR="007E4D43" w:rsidRPr="00B816EE" w:rsidRDefault="007E4D43" w:rsidP="007E4D43">
      <w:pPr>
        <w:jc w:val="center"/>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Schlagworte/Normen:</w:t>
      </w:r>
    </w:p>
    <w:p w:rsidR="007E4D43" w:rsidRPr="007E4D43" w:rsidRDefault="007E4D43"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rPr>
      </w:pPr>
      <w:r w:rsidRPr="007E4D43">
        <w:rPr>
          <w:rFonts w:ascii="Arial" w:hAnsi="Arial" w:cs="Arial"/>
          <w:b/>
          <w:bCs/>
          <w:color w:val="002060"/>
          <w:sz w:val="20"/>
          <w:szCs w:val="20"/>
        </w:rPr>
        <w:t> Allgemeines Gleichbehandlungsgesetz, Entschädigung, Rechtsmissbrauch, Stellenanzeige, eBay-Kleinanzeigen</w:t>
      </w:r>
    </w:p>
    <w:p w:rsidR="002F35FD" w:rsidRPr="007E4D43" w:rsidRDefault="002F35FD"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 xml:space="preserve">Leitsätze: </w:t>
      </w:r>
    </w:p>
    <w:p w:rsidR="002F35FD" w:rsidRPr="007E4D43" w:rsidRDefault="002F35FD" w:rsidP="007E4D43">
      <w:pPr>
        <w:jc w:val="both"/>
        <w:rPr>
          <w:rFonts w:ascii="Arial" w:hAnsi="Arial" w:cs="Arial"/>
          <w:sz w:val="20"/>
          <w:szCs w:val="20"/>
        </w:rPr>
      </w:pPr>
    </w:p>
    <w:p w:rsidR="00281C35" w:rsidRDefault="00281C35" w:rsidP="007E4D43">
      <w:pPr>
        <w:jc w:val="both"/>
        <w:rPr>
          <w:rFonts w:ascii="Arial" w:hAnsi="Arial" w:cs="Arial"/>
          <w:color w:val="002060"/>
          <w:sz w:val="20"/>
          <w:szCs w:val="20"/>
        </w:rPr>
      </w:pPr>
      <w:r w:rsidRPr="007E4D43">
        <w:rPr>
          <w:rFonts w:ascii="Arial" w:hAnsi="Arial" w:cs="Arial"/>
          <w:b/>
          <w:bCs/>
          <w:color w:val="002060"/>
          <w:sz w:val="20"/>
          <w:szCs w:val="20"/>
        </w:rPr>
        <w:t> </w:t>
      </w:r>
      <w:r w:rsidRPr="007E4D43">
        <w:rPr>
          <w:rFonts w:ascii="Arial" w:hAnsi="Arial" w:cs="Arial"/>
          <w:color w:val="002060"/>
          <w:sz w:val="20"/>
          <w:szCs w:val="20"/>
        </w:rPr>
        <w:t>Bewirbt sich ein Mann auf eine bei eBay-Kleinanzeigen lediglich für Frauen ausgeschriebene Stelle unter besonderer Hervorhebung, dass es sich bei dem Bewerber um einen Mann handelt, sowie dergestalt, dass eine Absage provoziert wird, kann es sich im konkreten Einzelfall um rechtsmissbräuchliches Vorgehen handeln.</w:t>
      </w:r>
    </w:p>
    <w:p w:rsidR="002F35FD" w:rsidRPr="007E4D43" w:rsidRDefault="002F35FD"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Siehe:</w:t>
      </w:r>
    </w:p>
    <w:p w:rsidR="002F35FD" w:rsidRPr="007E4D43" w:rsidRDefault="002F35FD" w:rsidP="007E4D43">
      <w:pPr>
        <w:jc w:val="both"/>
        <w:rPr>
          <w:rFonts w:ascii="Arial" w:hAnsi="Arial" w:cs="Arial"/>
          <w:sz w:val="20"/>
          <w:szCs w:val="20"/>
        </w:rPr>
      </w:pPr>
    </w:p>
    <w:p w:rsidR="00281C35" w:rsidRPr="007E4D43" w:rsidRDefault="00281C35" w:rsidP="007E4D43">
      <w:pPr>
        <w:jc w:val="both"/>
        <w:rPr>
          <w:rFonts w:ascii="Arial" w:hAnsi="Arial" w:cs="Arial"/>
          <w:color w:val="002060"/>
          <w:sz w:val="20"/>
          <w:szCs w:val="20"/>
          <w:u w:val="single"/>
        </w:rPr>
      </w:pPr>
      <w:r w:rsidRPr="007E4D43">
        <w:rPr>
          <w:rFonts w:ascii="Arial" w:hAnsi="Arial" w:cs="Arial"/>
          <w:color w:val="002060"/>
          <w:sz w:val="20"/>
          <w:szCs w:val="20"/>
        </w:rPr>
        <w:t> </w:t>
      </w:r>
      <w:hyperlink r:id="rId19" w:history="1">
        <w:r w:rsidR="00FE1D1D" w:rsidRPr="007E4D43">
          <w:rPr>
            <w:rStyle w:val="Hyperlink"/>
            <w:rFonts w:ascii="Arial" w:hAnsi="Arial" w:cs="Arial"/>
            <w:sz w:val="20"/>
            <w:szCs w:val="20"/>
          </w:rPr>
          <w:t>https://www.justiz.nrw/nrwe/arbgs/hamm/lag_hamm/j2023/9_Sa_538_22_Urteil_20230823.html</w:t>
        </w:r>
      </w:hyperlink>
    </w:p>
    <w:p w:rsidR="00FE1D1D" w:rsidRPr="007E4D43" w:rsidRDefault="00FE1D1D" w:rsidP="007E4D43">
      <w:pPr>
        <w:jc w:val="both"/>
        <w:rPr>
          <w:rFonts w:ascii="Arial" w:hAnsi="Arial" w:cs="Arial"/>
          <w:sz w:val="20"/>
          <w:szCs w:val="20"/>
        </w:rPr>
      </w:pP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p>
    <w:p w:rsidR="00281C35" w:rsidRPr="002201C4" w:rsidRDefault="002201C4" w:rsidP="002201C4">
      <w:pPr>
        <w:keepNext/>
        <w:jc w:val="center"/>
        <w:rPr>
          <w:rFonts w:ascii="Arial" w:hAnsi="Arial" w:cs="Arial"/>
          <w:b/>
          <w:sz w:val="20"/>
          <w:szCs w:val="20"/>
        </w:rPr>
      </w:pPr>
      <w:r>
        <w:rPr>
          <w:rFonts w:ascii="Arial" w:hAnsi="Arial" w:cs="Arial"/>
          <w:b/>
          <w:sz w:val="20"/>
          <w:szCs w:val="20"/>
        </w:rPr>
        <w:t>XI</w:t>
      </w:r>
      <w:r w:rsidR="00281C35" w:rsidRPr="002201C4">
        <w:rPr>
          <w:rFonts w:ascii="Arial" w:hAnsi="Arial" w:cs="Arial"/>
          <w:b/>
          <w:sz w:val="20"/>
          <w:szCs w:val="20"/>
        </w:rPr>
        <w:t>II.</w:t>
      </w:r>
    </w:p>
    <w:p w:rsidR="00FE1D1D" w:rsidRDefault="00281C35" w:rsidP="007E4D43">
      <w:pPr>
        <w:jc w:val="center"/>
        <w:rPr>
          <w:rFonts w:ascii="Arial" w:hAnsi="Arial" w:cs="Arial"/>
          <w:b/>
          <w:bCs/>
          <w:color w:val="002060"/>
          <w:sz w:val="20"/>
          <w:szCs w:val="20"/>
        </w:rPr>
      </w:pPr>
      <w:r w:rsidRPr="007E4D43">
        <w:rPr>
          <w:rFonts w:ascii="Arial" w:hAnsi="Arial" w:cs="Arial"/>
          <w:b/>
          <w:bCs/>
          <w:color w:val="002060"/>
          <w:sz w:val="20"/>
          <w:szCs w:val="20"/>
        </w:rPr>
        <w:t>Landesarbeitsgericht Niedersachsen</w:t>
      </w:r>
    </w:p>
    <w:p w:rsidR="00281C35" w:rsidRPr="00B816EE" w:rsidRDefault="00281C35" w:rsidP="007E4D43">
      <w:pPr>
        <w:jc w:val="center"/>
        <w:rPr>
          <w:rFonts w:ascii="Arial" w:hAnsi="Arial" w:cs="Arial"/>
          <w:bCs/>
          <w:color w:val="002060"/>
          <w:sz w:val="20"/>
          <w:szCs w:val="20"/>
        </w:rPr>
      </w:pPr>
      <w:r w:rsidRPr="00B816EE">
        <w:rPr>
          <w:rFonts w:ascii="Arial" w:hAnsi="Arial" w:cs="Arial"/>
          <w:bCs/>
          <w:color w:val="002060"/>
          <w:sz w:val="20"/>
          <w:szCs w:val="20"/>
        </w:rPr>
        <w:t>Urt. v. 27.06.2023, Az.: 10 Sa 762/22</w:t>
      </w:r>
    </w:p>
    <w:p w:rsidR="007E4D43" w:rsidRPr="007E4D43" w:rsidRDefault="007E4D43" w:rsidP="007E4D43">
      <w:pPr>
        <w:jc w:val="center"/>
        <w:rPr>
          <w:rFonts w:ascii="Arial" w:hAnsi="Arial" w:cs="Arial"/>
          <w:b/>
          <w:bCs/>
          <w:color w:val="002060"/>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u w:val="single"/>
        </w:rPr>
        <w:t>Schlagworte/Normen:</w:t>
      </w:r>
    </w:p>
    <w:p w:rsidR="007E4D43" w:rsidRPr="007E4D43" w:rsidRDefault="007E4D43" w:rsidP="007E4D43">
      <w:pPr>
        <w:jc w:val="both"/>
        <w:rPr>
          <w:rFonts w:ascii="Arial" w:hAnsi="Arial" w:cs="Arial"/>
          <w:sz w:val="20"/>
          <w:szCs w:val="20"/>
        </w:rPr>
      </w:pPr>
    </w:p>
    <w:p w:rsidR="00281C35" w:rsidRPr="007E4D43" w:rsidRDefault="00281C35" w:rsidP="007E4D43">
      <w:pPr>
        <w:jc w:val="both"/>
        <w:rPr>
          <w:rFonts w:ascii="Arial" w:hAnsi="Arial" w:cs="Arial"/>
          <w:sz w:val="20"/>
          <w:szCs w:val="20"/>
        </w:rPr>
      </w:pPr>
      <w:r w:rsidRPr="007E4D43">
        <w:rPr>
          <w:rFonts w:ascii="Arial" w:hAnsi="Arial" w:cs="Arial"/>
          <w:b/>
          <w:bCs/>
          <w:color w:val="002060"/>
          <w:sz w:val="20"/>
          <w:szCs w:val="20"/>
        </w:rPr>
        <w:lastRenderedPageBreak/>
        <w:t xml:space="preserve"> Abmahnung; außerordentliche Kündigung; Ersatzmutterschaft; </w:t>
      </w:r>
      <w:proofErr w:type="spellStart"/>
      <w:r w:rsidRPr="007E4D43">
        <w:rPr>
          <w:rFonts w:ascii="Arial" w:hAnsi="Arial" w:cs="Arial"/>
          <w:b/>
          <w:bCs/>
          <w:color w:val="002060"/>
          <w:sz w:val="20"/>
          <w:szCs w:val="20"/>
        </w:rPr>
        <w:t>in-vitro-Fertilisation</w:t>
      </w:r>
      <w:proofErr w:type="spellEnd"/>
      <w:r w:rsidRPr="007E4D43">
        <w:rPr>
          <w:rFonts w:ascii="Arial" w:hAnsi="Arial" w:cs="Arial"/>
          <w:b/>
          <w:bCs/>
          <w:color w:val="002060"/>
          <w:sz w:val="20"/>
          <w:szCs w:val="20"/>
        </w:rPr>
        <w:t xml:space="preserve">; Leihmutter; </w:t>
      </w:r>
      <w:proofErr w:type="spellStart"/>
      <w:r w:rsidRPr="007E4D43">
        <w:rPr>
          <w:rFonts w:ascii="Arial" w:hAnsi="Arial" w:cs="Arial"/>
          <w:b/>
          <w:bCs/>
          <w:color w:val="002060"/>
          <w:sz w:val="20"/>
          <w:szCs w:val="20"/>
        </w:rPr>
        <w:t>venire</w:t>
      </w:r>
      <w:proofErr w:type="spellEnd"/>
      <w:r w:rsidRPr="007E4D43">
        <w:rPr>
          <w:rFonts w:ascii="Arial" w:hAnsi="Arial" w:cs="Arial"/>
          <w:b/>
          <w:bCs/>
          <w:color w:val="002060"/>
          <w:sz w:val="20"/>
          <w:szCs w:val="20"/>
        </w:rPr>
        <w:t xml:space="preserve"> contra </w:t>
      </w:r>
      <w:proofErr w:type="spellStart"/>
      <w:r w:rsidRPr="007E4D43">
        <w:rPr>
          <w:rFonts w:ascii="Arial" w:hAnsi="Arial" w:cs="Arial"/>
          <w:b/>
          <w:bCs/>
          <w:color w:val="002060"/>
          <w:sz w:val="20"/>
          <w:szCs w:val="20"/>
        </w:rPr>
        <w:t>factum</w:t>
      </w:r>
      <w:proofErr w:type="spellEnd"/>
      <w:r w:rsidRPr="007E4D43">
        <w:rPr>
          <w:rFonts w:ascii="Arial" w:hAnsi="Arial" w:cs="Arial"/>
          <w:b/>
          <w:bCs/>
          <w:color w:val="002060"/>
          <w:sz w:val="20"/>
          <w:szCs w:val="20"/>
        </w:rPr>
        <w:t xml:space="preserve"> proprium; Kündigung Landeskirche beschäftigten Domkantors wegen Überlegungen zur Inanspruchnahme einer Leihmutterschaft in einem südamerikanischen Land; treuwidrige Kündigung nach vorausgegangenem Kündigungsverzicht</w:t>
      </w:r>
    </w:p>
    <w:p w:rsidR="00281C35" w:rsidRPr="007E4D43" w:rsidRDefault="00281C35" w:rsidP="007E4D43">
      <w:pPr>
        <w:jc w:val="both"/>
        <w:rPr>
          <w:rFonts w:ascii="Arial" w:hAnsi="Arial" w:cs="Arial"/>
          <w:sz w:val="20"/>
          <w:szCs w:val="20"/>
        </w:rPr>
      </w:pPr>
      <w:r w:rsidRPr="007E4D43">
        <w:rPr>
          <w:rFonts w:ascii="Arial" w:hAnsi="Arial" w:cs="Arial"/>
          <w:b/>
          <w:bCs/>
          <w:color w:val="002060"/>
          <w:sz w:val="20"/>
          <w:szCs w:val="20"/>
        </w:rPr>
        <w:t> </w:t>
      </w:r>
      <w:r w:rsidRPr="007E4D43">
        <w:rPr>
          <w:rFonts w:ascii="Arial" w:hAnsi="Arial" w:cs="Arial"/>
          <w:b/>
          <w:bCs/>
          <w:color w:val="002060"/>
          <w:sz w:val="20"/>
          <w:szCs w:val="20"/>
          <w:u w:val="single"/>
        </w:rPr>
        <w:t xml:space="preserve">Leitsätze: </w:t>
      </w:r>
    </w:p>
    <w:p w:rsidR="00281C35" w:rsidRPr="007E4D43" w:rsidRDefault="00281C35" w:rsidP="007E4D43">
      <w:pPr>
        <w:jc w:val="both"/>
        <w:rPr>
          <w:rFonts w:ascii="Arial" w:hAnsi="Arial" w:cs="Arial"/>
          <w:sz w:val="20"/>
          <w:szCs w:val="20"/>
        </w:rPr>
      </w:pPr>
      <w:r w:rsidRPr="007E4D43">
        <w:rPr>
          <w:rFonts w:ascii="Arial" w:hAnsi="Arial" w:cs="Arial"/>
          <w:b/>
          <w:bCs/>
          <w:color w:val="002060"/>
          <w:sz w:val="20"/>
          <w:szCs w:val="20"/>
        </w:rPr>
        <w:t> </w:t>
      </w:r>
    </w:p>
    <w:p w:rsidR="00281C35" w:rsidRPr="007E4D43" w:rsidRDefault="00281C35" w:rsidP="007B4929">
      <w:pPr>
        <w:numPr>
          <w:ilvl w:val="0"/>
          <w:numId w:val="22"/>
        </w:numPr>
        <w:ind w:left="0" w:firstLine="0"/>
        <w:jc w:val="both"/>
        <w:rPr>
          <w:rFonts w:ascii="Arial" w:hAnsi="Arial" w:cs="Arial"/>
          <w:color w:val="002060"/>
          <w:sz w:val="20"/>
          <w:szCs w:val="20"/>
        </w:rPr>
      </w:pPr>
      <w:r w:rsidRPr="007E4D43">
        <w:rPr>
          <w:rFonts w:ascii="Arial" w:hAnsi="Arial" w:cs="Arial"/>
          <w:color w:val="002060"/>
          <w:sz w:val="20"/>
          <w:szCs w:val="20"/>
        </w:rPr>
        <w:t> </w:t>
      </w: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Der Kündigungsberechtigte kann sowohl bei einer außerordentlichen als auch bei einer ordentlichen Kündigung auf ein auf bestimmte Gründe gestütztes und konkret bestehendes Kündigungsrecht verzichten. Der Verzicht kann ausdrücklich oder konkludent durch eine empfangsbedürftige Willenserklärung des Kündigungsberechtigten erfolgen.</w:t>
      </w:r>
    </w:p>
    <w:p w:rsidR="00281C35" w:rsidRPr="007E4D43" w:rsidRDefault="00281C35" w:rsidP="007B4929">
      <w:pPr>
        <w:numPr>
          <w:ilvl w:val="0"/>
          <w:numId w:val="23"/>
        </w:numPr>
        <w:ind w:left="0" w:firstLine="0"/>
        <w:jc w:val="both"/>
        <w:rPr>
          <w:rFonts w:ascii="Arial" w:hAnsi="Arial" w:cs="Arial"/>
          <w:color w:val="002060"/>
          <w:sz w:val="20"/>
          <w:szCs w:val="20"/>
        </w:rPr>
      </w:pPr>
      <w:r w:rsidRPr="007E4D43">
        <w:rPr>
          <w:rFonts w:ascii="Arial" w:hAnsi="Arial" w:cs="Arial"/>
          <w:color w:val="002060"/>
          <w:sz w:val="20"/>
          <w:szCs w:val="20"/>
        </w:rPr>
        <w:t> </w:t>
      </w: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Das Kündigungsrecht erlischt, wenn der Kündigungsberechtigte wegen des ihm bekannten Kündigungssachverhaltes eine Abmahnung ausspricht und sich die für die Kündigung maßgebenden Umstände nicht später geändert haben.</w:t>
      </w:r>
    </w:p>
    <w:p w:rsidR="00281C35" w:rsidRPr="007E4D43" w:rsidRDefault="00281C35" w:rsidP="007B4929">
      <w:pPr>
        <w:numPr>
          <w:ilvl w:val="0"/>
          <w:numId w:val="24"/>
        </w:numPr>
        <w:ind w:left="0" w:firstLine="0"/>
        <w:jc w:val="both"/>
        <w:rPr>
          <w:rFonts w:ascii="Arial" w:hAnsi="Arial" w:cs="Arial"/>
          <w:color w:val="002060"/>
          <w:sz w:val="20"/>
          <w:szCs w:val="20"/>
        </w:rPr>
      </w:pPr>
      <w:r w:rsidRPr="007E4D43">
        <w:rPr>
          <w:rFonts w:ascii="Arial" w:hAnsi="Arial" w:cs="Arial"/>
          <w:color w:val="002060"/>
          <w:sz w:val="20"/>
          <w:szCs w:val="20"/>
        </w:rPr>
        <w:t> </w:t>
      </w: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xml:space="preserve">Bei einem Verzicht auf die Kündigung ändert sich die Rechtslage hinsichtlich eines vorhandenen Kündigungsgrundes nicht. Der Verzichtende legt sich aber gegenüber dem Vertragspartner fest, aus einer ihm günstigen Tatsachenlage keine Konsequenzen zu ziehen. Eine Kündigung trotz Verzichts ist ein Fall unzulässiger Rechtsausübung </w:t>
      </w:r>
      <w:proofErr w:type="spellStart"/>
      <w:r w:rsidRPr="007E4D43">
        <w:rPr>
          <w:rFonts w:ascii="Arial" w:hAnsi="Arial" w:cs="Arial"/>
          <w:color w:val="002060"/>
          <w:sz w:val="20"/>
          <w:szCs w:val="20"/>
        </w:rPr>
        <w:t>iSv</w:t>
      </w:r>
      <w:proofErr w:type="spellEnd"/>
      <w:r w:rsidRPr="007E4D43">
        <w:rPr>
          <w:rFonts w:ascii="Arial" w:hAnsi="Arial" w:cs="Arial"/>
          <w:color w:val="002060"/>
          <w:sz w:val="20"/>
          <w:szCs w:val="20"/>
        </w:rPr>
        <w:t xml:space="preserve">. § 242 BGB in der Form des Verbotes widersprüchlichen Verhaltens. </w:t>
      </w:r>
    </w:p>
    <w:p w:rsidR="00281C35" w:rsidRPr="007E4D43" w:rsidRDefault="00281C35" w:rsidP="007B4929">
      <w:pPr>
        <w:numPr>
          <w:ilvl w:val="0"/>
          <w:numId w:val="25"/>
        </w:numPr>
        <w:ind w:left="0" w:firstLine="0"/>
        <w:jc w:val="both"/>
        <w:rPr>
          <w:rFonts w:ascii="Arial" w:hAnsi="Arial" w:cs="Arial"/>
          <w:color w:val="002060"/>
          <w:sz w:val="20"/>
          <w:szCs w:val="20"/>
        </w:rPr>
      </w:pPr>
      <w:r w:rsidRPr="007E4D43">
        <w:rPr>
          <w:rFonts w:ascii="Arial" w:hAnsi="Arial" w:cs="Arial"/>
          <w:color w:val="002060"/>
          <w:sz w:val="20"/>
          <w:szCs w:val="20"/>
        </w:rPr>
        <w:t> </w:t>
      </w:r>
    </w:p>
    <w:p w:rsidR="00281C35" w:rsidRDefault="00281C35" w:rsidP="007E4D43">
      <w:pPr>
        <w:jc w:val="both"/>
        <w:rPr>
          <w:rFonts w:ascii="Arial" w:hAnsi="Arial" w:cs="Arial"/>
          <w:color w:val="002060"/>
          <w:sz w:val="20"/>
          <w:szCs w:val="20"/>
        </w:rPr>
      </w:pPr>
      <w:r w:rsidRPr="007E4D43">
        <w:rPr>
          <w:rFonts w:ascii="Arial" w:hAnsi="Arial" w:cs="Arial"/>
          <w:color w:val="002060"/>
          <w:sz w:val="20"/>
          <w:szCs w:val="20"/>
        </w:rPr>
        <w:t>Zur Rechtfertigung einer späteren Kündigung kann der Arbeitgeber auf solche Gründe nur dann unterstützend zurückgreifen, wenn weitere kündigungsrechtlich erhebliche Umstände eintreten oder nachträglich bekannt werden.</w:t>
      </w:r>
    </w:p>
    <w:p w:rsidR="002F35FD" w:rsidRPr="007E4D43" w:rsidRDefault="002F35FD"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Siehe:</w:t>
      </w:r>
    </w:p>
    <w:p w:rsidR="002F35FD" w:rsidRPr="007E4D43" w:rsidRDefault="002F35FD" w:rsidP="007E4D43">
      <w:pPr>
        <w:jc w:val="both"/>
        <w:rPr>
          <w:rFonts w:ascii="Arial" w:hAnsi="Arial" w:cs="Arial"/>
          <w:sz w:val="20"/>
          <w:szCs w:val="20"/>
        </w:rPr>
      </w:pP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hyperlink r:id="rId20" w:history="1">
        <w:r w:rsidR="00FE1D1D" w:rsidRPr="007E4D43">
          <w:rPr>
            <w:rStyle w:val="Hyperlink"/>
            <w:rFonts w:ascii="Arial" w:hAnsi="Arial" w:cs="Arial"/>
            <w:sz w:val="20"/>
            <w:szCs w:val="20"/>
          </w:rPr>
          <w:t>https://voris.wolterskluwer-online.de/browse/document/4b442452-769d-425f-90bb-d4e374cf95ae</w:t>
        </w:r>
      </w:hyperlink>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p>
    <w:p w:rsidR="00281C35" w:rsidRPr="007B4929" w:rsidRDefault="007B4929" w:rsidP="007B4929">
      <w:pPr>
        <w:jc w:val="center"/>
        <w:rPr>
          <w:rFonts w:ascii="Arial" w:hAnsi="Arial" w:cs="Arial"/>
          <w:b/>
          <w:sz w:val="20"/>
          <w:szCs w:val="20"/>
        </w:rPr>
      </w:pPr>
      <w:r w:rsidRPr="007B4929">
        <w:rPr>
          <w:rFonts w:ascii="Arial" w:hAnsi="Arial" w:cs="Arial"/>
          <w:b/>
          <w:color w:val="002060"/>
          <w:sz w:val="20"/>
          <w:szCs w:val="20"/>
        </w:rPr>
        <w:t>XV.</w:t>
      </w:r>
    </w:p>
    <w:p w:rsidR="00281C35" w:rsidRPr="007E4D43" w:rsidRDefault="00281C35" w:rsidP="007B4929">
      <w:pPr>
        <w:jc w:val="center"/>
        <w:rPr>
          <w:rFonts w:ascii="Arial" w:hAnsi="Arial" w:cs="Arial"/>
          <w:sz w:val="20"/>
          <w:szCs w:val="20"/>
        </w:rPr>
      </w:pPr>
      <w:r w:rsidRPr="007E4D43">
        <w:rPr>
          <w:rFonts w:ascii="Arial" w:hAnsi="Arial" w:cs="Arial"/>
          <w:b/>
          <w:bCs/>
          <w:color w:val="002060"/>
          <w:sz w:val="20"/>
          <w:szCs w:val="20"/>
          <w:u w:val="single"/>
        </w:rPr>
        <w:t>Neu eingestellte Entscheidungen des Landesarbeitsgerichts Schleswig-Holstein:</w:t>
      </w:r>
    </w:p>
    <w:p w:rsidR="00281C35" w:rsidRPr="007E4D43" w:rsidRDefault="00281C35" w:rsidP="007E4D43">
      <w:pPr>
        <w:jc w:val="both"/>
        <w:rPr>
          <w:rFonts w:ascii="Arial" w:hAnsi="Arial" w:cs="Arial"/>
          <w:sz w:val="20"/>
          <w:szCs w:val="20"/>
        </w:rPr>
      </w:pPr>
    </w:p>
    <w:p w:rsidR="00281C35" w:rsidRPr="007E4D43" w:rsidRDefault="00281C35" w:rsidP="007E4D43">
      <w:pPr>
        <w:jc w:val="both"/>
        <w:rPr>
          <w:rFonts w:ascii="Arial" w:hAnsi="Arial" w:cs="Arial"/>
          <w:sz w:val="20"/>
          <w:szCs w:val="20"/>
        </w:rPr>
      </w:pPr>
      <w:r w:rsidRPr="007E4D43">
        <w:rPr>
          <w:rFonts w:ascii="Arial" w:hAnsi="Arial" w:cs="Arial"/>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50"/>
        <w:gridCol w:w="8922"/>
      </w:tblGrid>
      <w:tr w:rsidR="00281C35" w:rsidRPr="007E4D43" w:rsidTr="00281C35">
        <w:trPr>
          <w:tblCellSpacing w:w="0" w:type="dxa"/>
        </w:trPr>
        <w:tc>
          <w:tcPr>
            <w:tcW w:w="150" w:type="dxa"/>
            <w:hideMark/>
          </w:tcPr>
          <w:p w:rsidR="00281C35" w:rsidRPr="007E4D43" w:rsidRDefault="00281C35" w:rsidP="007E4D43">
            <w:pPr>
              <w:jc w:val="both"/>
              <w:rPr>
                <w:rFonts w:ascii="Arial" w:hAnsi="Arial" w:cs="Arial"/>
                <w:sz w:val="20"/>
                <w:szCs w:val="20"/>
              </w:rPr>
            </w:pPr>
          </w:p>
        </w:tc>
        <w:tc>
          <w:tcPr>
            <w:tcW w:w="0" w:type="auto"/>
            <w:hideMark/>
          </w:tcPr>
          <w:p w:rsidR="00281C35" w:rsidRPr="007E4D43" w:rsidRDefault="00281C35" w:rsidP="007E4D43">
            <w:pPr>
              <w:jc w:val="both"/>
              <w:rPr>
                <w:rFonts w:ascii="Arial" w:hAnsi="Arial" w:cs="Arial"/>
                <w:sz w:val="20"/>
                <w:szCs w:val="20"/>
              </w:rPr>
            </w:pPr>
            <w:r w:rsidRPr="007E4D43">
              <w:rPr>
                <w:rFonts w:ascii="Arial" w:hAnsi="Arial" w:cs="Arial"/>
                <w:sz w:val="20"/>
                <w:szCs w:val="20"/>
              </w:rPr>
              <w:t> </w:t>
            </w:r>
          </w:p>
          <w:tbl>
            <w:tblPr>
              <w:tblW w:w="0" w:type="auto"/>
              <w:tblCellSpacing w:w="15" w:type="dxa"/>
              <w:shd w:val="clear" w:color="auto" w:fill="EBEBEB"/>
              <w:tblCellMar>
                <w:left w:w="0" w:type="dxa"/>
                <w:right w:w="0" w:type="dxa"/>
              </w:tblCellMar>
              <w:tblLook w:val="04A0" w:firstRow="1" w:lastRow="0" w:firstColumn="1" w:lastColumn="0" w:noHBand="0" w:noVBand="1"/>
            </w:tblPr>
            <w:tblGrid>
              <w:gridCol w:w="1286"/>
              <w:gridCol w:w="1271"/>
              <w:gridCol w:w="919"/>
              <w:gridCol w:w="1037"/>
              <w:gridCol w:w="3240"/>
              <w:gridCol w:w="1169"/>
            </w:tblGrid>
            <w:tr w:rsidR="007B4929" w:rsidRPr="007E4D43" w:rsidTr="007B4929">
              <w:trPr>
                <w:tblCellSpacing w:w="15" w:type="dxa"/>
              </w:trPr>
              <w:tc>
                <w:tcPr>
                  <w:tcW w:w="695" w:type="pct"/>
                  <w:shd w:val="clear" w:color="auto" w:fill="DFDFD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Einstelldatum</w:t>
                  </w:r>
                </w:p>
              </w:tc>
              <w:tc>
                <w:tcPr>
                  <w:tcW w:w="695" w:type="pct"/>
                  <w:shd w:val="clear" w:color="auto" w:fill="DFDFD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Aktenzeichen</w:t>
                  </w:r>
                </w:p>
              </w:tc>
              <w:tc>
                <w:tcPr>
                  <w:tcW w:w="499" w:type="pct"/>
                  <w:shd w:val="clear" w:color="auto" w:fill="DFDFDF"/>
                </w:tcPr>
                <w:p w:rsidR="007B4929" w:rsidRPr="007E4D43" w:rsidRDefault="007B4929" w:rsidP="007E4D43">
                  <w:pPr>
                    <w:jc w:val="both"/>
                    <w:rPr>
                      <w:rFonts w:ascii="Arial" w:hAnsi="Arial" w:cs="Arial"/>
                      <w:color w:val="000000"/>
                      <w:sz w:val="20"/>
                      <w:szCs w:val="20"/>
                    </w:rPr>
                  </w:pPr>
                </w:p>
              </w:tc>
              <w:tc>
                <w:tcPr>
                  <w:tcW w:w="564" w:type="pct"/>
                  <w:shd w:val="clear" w:color="auto" w:fill="DFDFD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Gericht</w:t>
                  </w:r>
                </w:p>
              </w:tc>
              <w:tc>
                <w:tcPr>
                  <w:tcW w:w="1798" w:type="pct"/>
                  <w:shd w:val="clear" w:color="auto" w:fill="DFDFD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Schlagworte</w:t>
                  </w:r>
                </w:p>
              </w:tc>
              <w:tc>
                <w:tcPr>
                  <w:tcW w:w="630" w:type="pct"/>
                  <w:shd w:val="clear" w:color="auto" w:fill="DFDFD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Datei</w:t>
                  </w:r>
                </w:p>
              </w:tc>
            </w:tr>
            <w:tr w:rsidR="007B4929" w:rsidRPr="007E4D43" w:rsidTr="007B4929">
              <w:trPr>
                <w:tblCellSpacing w:w="15" w:type="dxa"/>
              </w:trPr>
              <w:tc>
                <w:tcPr>
                  <w:tcW w:w="695"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17/10/2023</w:t>
                  </w:r>
                </w:p>
              </w:tc>
              <w:tc>
                <w:tcPr>
                  <w:tcW w:w="695"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6 Sa 106/22</w:t>
                  </w:r>
                </w:p>
              </w:tc>
              <w:tc>
                <w:tcPr>
                  <w:tcW w:w="499" w:type="pct"/>
                  <w:shd w:val="clear" w:color="auto" w:fill="FFFFFF"/>
                </w:tcPr>
                <w:p w:rsidR="007B4929" w:rsidRPr="007E4D43" w:rsidRDefault="007B4929" w:rsidP="007E4D43">
                  <w:pPr>
                    <w:jc w:val="both"/>
                    <w:rPr>
                      <w:rFonts w:ascii="Arial" w:hAnsi="Arial" w:cs="Arial"/>
                      <w:color w:val="000000"/>
                      <w:sz w:val="20"/>
                      <w:szCs w:val="20"/>
                    </w:rPr>
                  </w:pPr>
                </w:p>
              </w:tc>
              <w:tc>
                <w:tcPr>
                  <w:tcW w:w="564"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LAG Schleswig-Holstein</w:t>
                  </w:r>
                </w:p>
              </w:tc>
              <w:tc>
                <w:tcPr>
                  <w:tcW w:w="1798" w:type="pct"/>
                  <w:shd w:val="clear" w:color="auto" w:fill="FFFFFF"/>
                  <w:tcMar>
                    <w:top w:w="20" w:type="dxa"/>
                    <w:left w:w="20" w:type="dxa"/>
                    <w:bottom w:w="20" w:type="dxa"/>
                    <w:right w:w="20" w:type="dxa"/>
                  </w:tcMar>
                  <w:hideMark/>
                </w:tcPr>
                <w:p w:rsidR="007B4929" w:rsidRPr="007E4D43" w:rsidRDefault="007B4929" w:rsidP="007B4929">
                  <w:pPr>
                    <w:rPr>
                      <w:rFonts w:ascii="Arial" w:hAnsi="Arial" w:cs="Arial"/>
                      <w:sz w:val="20"/>
                      <w:szCs w:val="20"/>
                    </w:rPr>
                  </w:pPr>
                  <w:r w:rsidRPr="007E4D43">
                    <w:rPr>
                      <w:rFonts w:ascii="Arial" w:hAnsi="Arial" w:cs="Arial"/>
                      <w:color w:val="000000"/>
                      <w:sz w:val="20"/>
                      <w:szCs w:val="20"/>
                    </w:rPr>
                    <w:t>Vergütung (erfolgsabhängige), Zielfestlegung, Dotierung, Leistungsgrad, Betriebliche Übung, Leistungsbestimmungsrecht, Mitbestimmung, Lohngestaltung</w:t>
                  </w:r>
                </w:p>
              </w:tc>
              <w:tc>
                <w:tcPr>
                  <w:tcW w:w="630" w:type="pct"/>
                  <w:shd w:val="clear" w:color="auto" w:fill="FFFFFF"/>
                  <w:tcMar>
                    <w:top w:w="20" w:type="dxa"/>
                    <w:left w:w="20" w:type="dxa"/>
                    <w:bottom w:w="20" w:type="dxa"/>
                    <w:right w:w="20" w:type="dxa"/>
                  </w:tcMar>
                  <w:hideMark/>
                </w:tcPr>
                <w:p w:rsidR="007B4929" w:rsidRPr="007E4D43" w:rsidRDefault="00AF322A" w:rsidP="007E4D43">
                  <w:pPr>
                    <w:jc w:val="both"/>
                    <w:rPr>
                      <w:rFonts w:ascii="Arial" w:hAnsi="Arial" w:cs="Arial"/>
                      <w:sz w:val="20"/>
                      <w:szCs w:val="20"/>
                    </w:rPr>
                  </w:pPr>
                  <w:hyperlink r:id="rId21" w:tgtFrame="_blank" w:history="1">
                    <w:r w:rsidR="007B4929" w:rsidRPr="007E4D43">
                      <w:rPr>
                        <w:rStyle w:val="Hyperlink"/>
                        <w:rFonts w:ascii="Arial" w:hAnsi="Arial" w:cs="Arial"/>
                        <w:sz w:val="20"/>
                        <w:szCs w:val="20"/>
                      </w:rPr>
                      <w:t>Urteil-6-Sa-106-22-28-06-2023.pdf</w:t>
                    </w:r>
                  </w:hyperlink>
                  <w:r w:rsidR="007B4929" w:rsidRPr="007E4D43">
                    <w:rPr>
                      <w:rFonts w:ascii="Arial" w:hAnsi="Arial" w:cs="Arial"/>
                      <w:color w:val="000000"/>
                      <w:sz w:val="20"/>
                      <w:szCs w:val="20"/>
                    </w:rPr>
                    <w:br/>
                    <w:t>(376.8 KB)</w:t>
                  </w:r>
                </w:p>
              </w:tc>
            </w:tr>
            <w:tr w:rsidR="007B4929" w:rsidRPr="007E4D43" w:rsidTr="007B4929">
              <w:trPr>
                <w:tblCellSpacing w:w="15" w:type="dxa"/>
              </w:trPr>
              <w:tc>
                <w:tcPr>
                  <w:tcW w:w="695"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17/10/2023</w:t>
                  </w:r>
                </w:p>
              </w:tc>
              <w:tc>
                <w:tcPr>
                  <w:tcW w:w="695"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 xml:space="preserve">4 Sa 39 </w:t>
                  </w:r>
                  <w:proofErr w:type="spellStart"/>
                  <w:r w:rsidRPr="007E4D43">
                    <w:rPr>
                      <w:rFonts w:ascii="Arial" w:hAnsi="Arial" w:cs="Arial"/>
                      <w:color w:val="000000"/>
                      <w:sz w:val="20"/>
                      <w:szCs w:val="20"/>
                    </w:rPr>
                    <w:t>öD</w:t>
                  </w:r>
                  <w:proofErr w:type="spellEnd"/>
                  <w:r w:rsidRPr="007E4D43">
                    <w:rPr>
                      <w:rFonts w:ascii="Arial" w:hAnsi="Arial" w:cs="Arial"/>
                      <w:color w:val="000000"/>
                      <w:sz w:val="20"/>
                      <w:szCs w:val="20"/>
                    </w:rPr>
                    <w:t>/23</w:t>
                  </w:r>
                </w:p>
              </w:tc>
              <w:tc>
                <w:tcPr>
                  <w:tcW w:w="499" w:type="pct"/>
                  <w:shd w:val="clear" w:color="auto" w:fill="FFFFFF"/>
                </w:tcPr>
                <w:p w:rsidR="007B4929" w:rsidRPr="007E4D43" w:rsidRDefault="007B4929" w:rsidP="007E4D43">
                  <w:pPr>
                    <w:jc w:val="both"/>
                    <w:rPr>
                      <w:rFonts w:ascii="Arial" w:hAnsi="Arial" w:cs="Arial"/>
                      <w:color w:val="000000"/>
                      <w:sz w:val="20"/>
                      <w:szCs w:val="20"/>
                    </w:rPr>
                  </w:pPr>
                </w:p>
              </w:tc>
              <w:tc>
                <w:tcPr>
                  <w:tcW w:w="564"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LAG Schleswig-Holstein</w:t>
                  </w:r>
                </w:p>
              </w:tc>
              <w:tc>
                <w:tcPr>
                  <w:tcW w:w="1798" w:type="pct"/>
                  <w:shd w:val="clear" w:color="auto" w:fill="FFFFFF"/>
                  <w:tcMar>
                    <w:top w:w="20" w:type="dxa"/>
                    <w:left w:w="20" w:type="dxa"/>
                    <w:bottom w:w="20" w:type="dxa"/>
                    <w:right w:w="20" w:type="dxa"/>
                  </w:tcMar>
                  <w:hideMark/>
                </w:tcPr>
                <w:p w:rsidR="007B4929" w:rsidRPr="007E4D43" w:rsidRDefault="007B4929" w:rsidP="007B4929">
                  <w:pPr>
                    <w:rPr>
                      <w:rFonts w:ascii="Arial" w:hAnsi="Arial" w:cs="Arial"/>
                      <w:sz w:val="20"/>
                      <w:szCs w:val="20"/>
                    </w:rPr>
                  </w:pPr>
                  <w:r w:rsidRPr="007E4D43">
                    <w:rPr>
                      <w:rFonts w:ascii="Arial" w:hAnsi="Arial" w:cs="Arial"/>
                      <w:color w:val="000000"/>
                      <w:sz w:val="20"/>
                      <w:szCs w:val="20"/>
                    </w:rPr>
                    <w:t>Arbeitsunfähigkeit, krankheitsbedingt, Corona, Erkrankung, symptomlose</w:t>
                  </w:r>
                </w:p>
              </w:tc>
              <w:tc>
                <w:tcPr>
                  <w:tcW w:w="630" w:type="pct"/>
                  <w:shd w:val="clear" w:color="auto" w:fill="FFFFFF"/>
                  <w:tcMar>
                    <w:top w:w="20" w:type="dxa"/>
                    <w:left w:w="20" w:type="dxa"/>
                    <w:bottom w:w="20" w:type="dxa"/>
                    <w:right w:w="20" w:type="dxa"/>
                  </w:tcMar>
                  <w:hideMark/>
                </w:tcPr>
                <w:p w:rsidR="007B4929" w:rsidRPr="007E4D43" w:rsidRDefault="00AF322A" w:rsidP="007E4D43">
                  <w:pPr>
                    <w:jc w:val="both"/>
                    <w:rPr>
                      <w:rFonts w:ascii="Arial" w:hAnsi="Arial" w:cs="Arial"/>
                      <w:sz w:val="20"/>
                      <w:szCs w:val="20"/>
                    </w:rPr>
                  </w:pPr>
                  <w:hyperlink r:id="rId22" w:tgtFrame="_blank" w:history="1">
                    <w:r w:rsidR="007B4929" w:rsidRPr="007E4D43">
                      <w:rPr>
                        <w:rStyle w:val="Hyperlink"/>
                        <w:rFonts w:ascii="Arial" w:hAnsi="Arial" w:cs="Arial"/>
                        <w:sz w:val="20"/>
                        <w:szCs w:val="20"/>
                      </w:rPr>
                      <w:t>Urteil-4-Sa-39 öD-23-06-07-2023.pdf</w:t>
                    </w:r>
                  </w:hyperlink>
                  <w:r w:rsidR="007B4929" w:rsidRPr="007E4D43">
                    <w:rPr>
                      <w:rFonts w:ascii="Arial" w:hAnsi="Arial" w:cs="Arial"/>
                      <w:color w:val="000000"/>
                      <w:sz w:val="20"/>
                      <w:szCs w:val="20"/>
                    </w:rPr>
                    <w:br/>
                    <w:t>(382.5 KB)</w:t>
                  </w:r>
                </w:p>
              </w:tc>
            </w:tr>
            <w:tr w:rsidR="007B4929" w:rsidRPr="007E4D43" w:rsidTr="007B4929">
              <w:trPr>
                <w:tblCellSpacing w:w="15" w:type="dxa"/>
              </w:trPr>
              <w:tc>
                <w:tcPr>
                  <w:tcW w:w="695"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17/10/2023</w:t>
                  </w:r>
                </w:p>
              </w:tc>
              <w:tc>
                <w:tcPr>
                  <w:tcW w:w="695"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 xml:space="preserve">4 Sa 123 </w:t>
                  </w:r>
                  <w:proofErr w:type="spellStart"/>
                  <w:r w:rsidRPr="007E4D43">
                    <w:rPr>
                      <w:rFonts w:ascii="Arial" w:hAnsi="Arial" w:cs="Arial"/>
                      <w:color w:val="000000"/>
                      <w:sz w:val="20"/>
                      <w:szCs w:val="20"/>
                    </w:rPr>
                    <w:t>öD</w:t>
                  </w:r>
                  <w:proofErr w:type="spellEnd"/>
                  <w:r w:rsidRPr="007E4D43">
                    <w:rPr>
                      <w:rFonts w:ascii="Arial" w:hAnsi="Arial" w:cs="Arial"/>
                      <w:color w:val="000000"/>
                      <w:sz w:val="20"/>
                      <w:szCs w:val="20"/>
                    </w:rPr>
                    <w:t>/22</w:t>
                  </w:r>
                </w:p>
              </w:tc>
              <w:tc>
                <w:tcPr>
                  <w:tcW w:w="499" w:type="pct"/>
                  <w:shd w:val="clear" w:color="auto" w:fill="FFFFFF"/>
                </w:tcPr>
                <w:p w:rsidR="007B4929" w:rsidRPr="007E4D43" w:rsidRDefault="007B4929" w:rsidP="007E4D43">
                  <w:pPr>
                    <w:jc w:val="both"/>
                    <w:rPr>
                      <w:rFonts w:ascii="Arial" w:hAnsi="Arial" w:cs="Arial"/>
                      <w:color w:val="000000"/>
                      <w:sz w:val="20"/>
                      <w:szCs w:val="20"/>
                    </w:rPr>
                  </w:pPr>
                </w:p>
              </w:tc>
              <w:tc>
                <w:tcPr>
                  <w:tcW w:w="564"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LAG Schleswig-Holstein</w:t>
                  </w:r>
                </w:p>
              </w:tc>
              <w:tc>
                <w:tcPr>
                  <w:tcW w:w="1798" w:type="pct"/>
                  <w:shd w:val="clear" w:color="auto" w:fill="FFFFFF"/>
                  <w:tcMar>
                    <w:top w:w="20" w:type="dxa"/>
                    <w:left w:w="20" w:type="dxa"/>
                    <w:bottom w:w="20" w:type="dxa"/>
                    <w:right w:w="20" w:type="dxa"/>
                  </w:tcMar>
                  <w:hideMark/>
                </w:tcPr>
                <w:p w:rsidR="007B4929" w:rsidRPr="007E4D43" w:rsidRDefault="007B4929" w:rsidP="007B4929">
                  <w:pPr>
                    <w:rPr>
                      <w:rFonts w:ascii="Arial" w:hAnsi="Arial" w:cs="Arial"/>
                      <w:sz w:val="20"/>
                      <w:szCs w:val="20"/>
                    </w:rPr>
                  </w:pPr>
                  <w:r w:rsidRPr="007E4D43">
                    <w:rPr>
                      <w:rFonts w:ascii="Arial" w:hAnsi="Arial" w:cs="Arial"/>
                      <w:color w:val="000000"/>
                      <w:sz w:val="20"/>
                      <w:szCs w:val="20"/>
                    </w:rPr>
                    <w:t>Gleichstellungsbeauftragte, nicht-binäre Person, drittes Geschlecht, Diskriminierung, Stellenausschreibung</w:t>
                  </w:r>
                </w:p>
              </w:tc>
              <w:tc>
                <w:tcPr>
                  <w:tcW w:w="630" w:type="pct"/>
                  <w:shd w:val="clear" w:color="auto" w:fill="FFFFFF"/>
                  <w:tcMar>
                    <w:top w:w="20" w:type="dxa"/>
                    <w:left w:w="20" w:type="dxa"/>
                    <w:bottom w:w="20" w:type="dxa"/>
                    <w:right w:w="20" w:type="dxa"/>
                  </w:tcMar>
                  <w:hideMark/>
                </w:tcPr>
                <w:p w:rsidR="007B4929" w:rsidRPr="007E4D43" w:rsidRDefault="00AF322A" w:rsidP="007E4D43">
                  <w:pPr>
                    <w:jc w:val="both"/>
                    <w:rPr>
                      <w:rFonts w:ascii="Arial" w:hAnsi="Arial" w:cs="Arial"/>
                      <w:sz w:val="20"/>
                      <w:szCs w:val="20"/>
                    </w:rPr>
                  </w:pPr>
                  <w:hyperlink r:id="rId23" w:tgtFrame="_blank" w:history="1">
                    <w:r w:rsidR="007B4929" w:rsidRPr="007E4D43">
                      <w:rPr>
                        <w:rStyle w:val="Hyperlink"/>
                        <w:rFonts w:ascii="Arial" w:hAnsi="Arial" w:cs="Arial"/>
                        <w:sz w:val="20"/>
                        <w:szCs w:val="20"/>
                      </w:rPr>
                      <w:t>Urteil-4-Sa-123 öD-22-14-06-2023.pdf</w:t>
                    </w:r>
                  </w:hyperlink>
                  <w:r w:rsidR="007B4929" w:rsidRPr="007E4D43">
                    <w:rPr>
                      <w:rFonts w:ascii="Arial" w:hAnsi="Arial" w:cs="Arial"/>
                      <w:color w:val="000000"/>
                      <w:sz w:val="20"/>
                      <w:szCs w:val="20"/>
                    </w:rPr>
                    <w:br/>
                    <w:t>(478.3 KB)</w:t>
                  </w:r>
                </w:p>
              </w:tc>
            </w:tr>
            <w:tr w:rsidR="007B4929" w:rsidRPr="007E4D43" w:rsidTr="007B4929">
              <w:trPr>
                <w:tblCellSpacing w:w="15" w:type="dxa"/>
              </w:trPr>
              <w:tc>
                <w:tcPr>
                  <w:tcW w:w="695"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12/10/2023</w:t>
                  </w:r>
                </w:p>
              </w:tc>
              <w:tc>
                <w:tcPr>
                  <w:tcW w:w="695"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6 Sa 202/22</w:t>
                  </w:r>
                </w:p>
              </w:tc>
              <w:tc>
                <w:tcPr>
                  <w:tcW w:w="499" w:type="pct"/>
                  <w:shd w:val="clear" w:color="auto" w:fill="FFFFFF"/>
                </w:tcPr>
                <w:p w:rsidR="007B4929" w:rsidRPr="007E4D43" w:rsidRDefault="007B4929" w:rsidP="007E4D43">
                  <w:pPr>
                    <w:jc w:val="both"/>
                    <w:rPr>
                      <w:rFonts w:ascii="Arial" w:hAnsi="Arial" w:cs="Arial"/>
                      <w:color w:val="000000"/>
                      <w:sz w:val="20"/>
                      <w:szCs w:val="20"/>
                    </w:rPr>
                  </w:pPr>
                </w:p>
              </w:tc>
              <w:tc>
                <w:tcPr>
                  <w:tcW w:w="564"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LAG Schleswig-Holstein</w:t>
                  </w:r>
                </w:p>
              </w:tc>
              <w:tc>
                <w:tcPr>
                  <w:tcW w:w="1798" w:type="pct"/>
                  <w:shd w:val="clear" w:color="auto" w:fill="FFFFFF"/>
                  <w:tcMar>
                    <w:top w:w="20" w:type="dxa"/>
                    <w:left w:w="20" w:type="dxa"/>
                    <w:bottom w:w="20" w:type="dxa"/>
                    <w:right w:w="20" w:type="dxa"/>
                  </w:tcMar>
                  <w:hideMark/>
                </w:tcPr>
                <w:p w:rsidR="007B4929" w:rsidRPr="007E4D43" w:rsidRDefault="007B4929" w:rsidP="007B4929">
                  <w:pPr>
                    <w:rPr>
                      <w:rFonts w:ascii="Arial" w:hAnsi="Arial" w:cs="Arial"/>
                      <w:sz w:val="20"/>
                      <w:szCs w:val="20"/>
                    </w:rPr>
                  </w:pPr>
                  <w:r w:rsidRPr="007E4D43">
                    <w:rPr>
                      <w:rFonts w:ascii="Arial" w:hAnsi="Arial" w:cs="Arial"/>
                      <w:color w:val="000000"/>
                      <w:sz w:val="20"/>
                      <w:szCs w:val="20"/>
                    </w:rPr>
                    <w:t>Stellenausschreibung, Bewerbung, Betriebsratsmitglied, Benachteiligung, Beförderung</w:t>
                  </w:r>
                </w:p>
              </w:tc>
              <w:tc>
                <w:tcPr>
                  <w:tcW w:w="630" w:type="pct"/>
                  <w:shd w:val="clear" w:color="auto" w:fill="FFFFFF"/>
                  <w:tcMar>
                    <w:top w:w="20" w:type="dxa"/>
                    <w:left w:w="20" w:type="dxa"/>
                    <w:bottom w:w="20" w:type="dxa"/>
                    <w:right w:w="20" w:type="dxa"/>
                  </w:tcMar>
                  <w:hideMark/>
                </w:tcPr>
                <w:p w:rsidR="007B4929" w:rsidRPr="007E4D43" w:rsidRDefault="00AF322A" w:rsidP="007E4D43">
                  <w:pPr>
                    <w:jc w:val="both"/>
                    <w:rPr>
                      <w:rFonts w:ascii="Arial" w:hAnsi="Arial" w:cs="Arial"/>
                      <w:sz w:val="20"/>
                      <w:szCs w:val="20"/>
                    </w:rPr>
                  </w:pPr>
                  <w:hyperlink r:id="rId24" w:tgtFrame="_blank" w:history="1">
                    <w:r w:rsidR="007B4929" w:rsidRPr="007E4D43">
                      <w:rPr>
                        <w:rStyle w:val="Hyperlink"/>
                        <w:rFonts w:ascii="Arial" w:hAnsi="Arial" w:cs="Arial"/>
                        <w:sz w:val="20"/>
                        <w:szCs w:val="20"/>
                      </w:rPr>
                      <w:t>Urteil-6-Sa-202-22-10-05-23.pdf</w:t>
                    </w:r>
                  </w:hyperlink>
                  <w:r w:rsidR="007B4929" w:rsidRPr="007E4D43">
                    <w:rPr>
                      <w:rFonts w:ascii="Arial" w:hAnsi="Arial" w:cs="Arial"/>
                      <w:color w:val="000000"/>
                      <w:sz w:val="20"/>
                      <w:szCs w:val="20"/>
                    </w:rPr>
                    <w:br/>
                    <w:t>(389.2 KB)</w:t>
                  </w:r>
                </w:p>
              </w:tc>
            </w:tr>
            <w:tr w:rsidR="007B4929" w:rsidRPr="007E4D43" w:rsidTr="007B4929">
              <w:trPr>
                <w:tblCellSpacing w:w="15" w:type="dxa"/>
              </w:trPr>
              <w:tc>
                <w:tcPr>
                  <w:tcW w:w="695"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lastRenderedPageBreak/>
                    <w:t>10/10/2023</w:t>
                  </w:r>
                </w:p>
              </w:tc>
              <w:tc>
                <w:tcPr>
                  <w:tcW w:w="695"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1 Sa 84/22</w:t>
                  </w:r>
                </w:p>
              </w:tc>
              <w:tc>
                <w:tcPr>
                  <w:tcW w:w="499" w:type="pct"/>
                  <w:shd w:val="clear" w:color="auto" w:fill="FFFFFF"/>
                </w:tcPr>
                <w:p w:rsidR="007B4929" w:rsidRPr="007E4D43" w:rsidRDefault="007B4929" w:rsidP="007E4D43">
                  <w:pPr>
                    <w:jc w:val="both"/>
                    <w:rPr>
                      <w:rFonts w:ascii="Arial" w:hAnsi="Arial" w:cs="Arial"/>
                      <w:color w:val="000000"/>
                      <w:sz w:val="20"/>
                      <w:szCs w:val="20"/>
                    </w:rPr>
                  </w:pPr>
                </w:p>
              </w:tc>
              <w:tc>
                <w:tcPr>
                  <w:tcW w:w="564"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LAG Schleswig-Holstein</w:t>
                  </w:r>
                </w:p>
              </w:tc>
              <w:tc>
                <w:tcPr>
                  <w:tcW w:w="1798" w:type="pct"/>
                  <w:shd w:val="clear" w:color="auto" w:fill="FFFFFF"/>
                  <w:tcMar>
                    <w:top w:w="20" w:type="dxa"/>
                    <w:left w:w="20" w:type="dxa"/>
                    <w:bottom w:w="20" w:type="dxa"/>
                    <w:right w:w="20" w:type="dxa"/>
                  </w:tcMar>
                  <w:hideMark/>
                </w:tcPr>
                <w:p w:rsidR="007B4929" w:rsidRPr="007E4D43" w:rsidRDefault="007B4929" w:rsidP="007B4929">
                  <w:pPr>
                    <w:rPr>
                      <w:rFonts w:ascii="Arial" w:hAnsi="Arial" w:cs="Arial"/>
                      <w:sz w:val="20"/>
                      <w:szCs w:val="20"/>
                    </w:rPr>
                  </w:pPr>
                  <w:r w:rsidRPr="007E4D43">
                    <w:rPr>
                      <w:rFonts w:ascii="Arial" w:hAnsi="Arial" w:cs="Arial"/>
                      <w:color w:val="000000"/>
                      <w:sz w:val="20"/>
                      <w:szCs w:val="20"/>
                    </w:rPr>
                    <w:t xml:space="preserve">Feststellungsklage, </w:t>
                  </w:r>
                  <w:proofErr w:type="spellStart"/>
                  <w:r w:rsidRPr="007E4D43">
                    <w:rPr>
                      <w:rFonts w:ascii="Arial" w:hAnsi="Arial" w:cs="Arial"/>
                      <w:color w:val="000000"/>
                      <w:sz w:val="20"/>
                      <w:szCs w:val="20"/>
                    </w:rPr>
                    <w:t>Elementenfeststellungsklage</w:t>
                  </w:r>
                  <w:proofErr w:type="spellEnd"/>
                  <w:r w:rsidRPr="007E4D43">
                    <w:rPr>
                      <w:rFonts w:ascii="Arial" w:hAnsi="Arial" w:cs="Arial"/>
                      <w:color w:val="000000"/>
                      <w:sz w:val="20"/>
                      <w:szCs w:val="20"/>
                    </w:rPr>
                    <w:t xml:space="preserve">, Zulässigkeit, </w:t>
                  </w:r>
                  <w:proofErr w:type="spellStart"/>
                  <w:r w:rsidRPr="007E4D43">
                    <w:rPr>
                      <w:rFonts w:ascii="Arial" w:hAnsi="Arial" w:cs="Arial"/>
                      <w:color w:val="000000"/>
                      <w:sz w:val="20"/>
                      <w:szCs w:val="20"/>
                    </w:rPr>
                    <w:t>ZIelvereinbarung</w:t>
                  </w:r>
                  <w:proofErr w:type="spellEnd"/>
                  <w:r w:rsidRPr="007E4D43">
                    <w:rPr>
                      <w:rFonts w:ascii="Arial" w:hAnsi="Arial" w:cs="Arial"/>
                      <w:color w:val="000000"/>
                      <w:sz w:val="20"/>
                      <w:szCs w:val="20"/>
                    </w:rPr>
                    <w:t xml:space="preserve">, </w:t>
                  </w:r>
                  <w:proofErr w:type="spellStart"/>
                  <w:r w:rsidRPr="007E4D43">
                    <w:rPr>
                      <w:rFonts w:ascii="Arial" w:hAnsi="Arial" w:cs="Arial"/>
                      <w:color w:val="000000"/>
                      <w:sz w:val="20"/>
                      <w:szCs w:val="20"/>
                    </w:rPr>
                    <w:t>ZIelprovision</w:t>
                  </w:r>
                  <w:proofErr w:type="spellEnd"/>
                  <w:r w:rsidRPr="007E4D43">
                    <w:rPr>
                      <w:rFonts w:ascii="Arial" w:hAnsi="Arial" w:cs="Arial"/>
                      <w:color w:val="000000"/>
                      <w:sz w:val="20"/>
                      <w:szCs w:val="20"/>
                    </w:rPr>
                    <w:t>, Prämie, Betriebliche Übung, Individuelle Übung, Leistungsbestimmungsrecht, Konkretisierung, Betriebsrat, Mitbestimmung</w:t>
                  </w:r>
                </w:p>
              </w:tc>
              <w:tc>
                <w:tcPr>
                  <w:tcW w:w="630" w:type="pct"/>
                  <w:shd w:val="clear" w:color="auto" w:fill="FFFFFF"/>
                  <w:tcMar>
                    <w:top w:w="20" w:type="dxa"/>
                    <w:left w:w="20" w:type="dxa"/>
                    <w:bottom w:w="20" w:type="dxa"/>
                    <w:right w:w="20" w:type="dxa"/>
                  </w:tcMar>
                  <w:hideMark/>
                </w:tcPr>
                <w:p w:rsidR="007B4929" w:rsidRPr="007E4D43" w:rsidRDefault="00AF322A" w:rsidP="007E4D43">
                  <w:pPr>
                    <w:jc w:val="both"/>
                    <w:rPr>
                      <w:rFonts w:ascii="Arial" w:hAnsi="Arial" w:cs="Arial"/>
                      <w:sz w:val="20"/>
                      <w:szCs w:val="20"/>
                    </w:rPr>
                  </w:pPr>
                  <w:hyperlink r:id="rId25" w:tgtFrame="_blank" w:history="1">
                    <w:r w:rsidR="007B4929" w:rsidRPr="007E4D43">
                      <w:rPr>
                        <w:rStyle w:val="Hyperlink"/>
                        <w:rFonts w:ascii="Arial" w:hAnsi="Arial" w:cs="Arial"/>
                        <w:sz w:val="20"/>
                        <w:szCs w:val="20"/>
                      </w:rPr>
                      <w:t>Urteil-1-Sa-84-22-28-06-2023.pdf</w:t>
                    </w:r>
                  </w:hyperlink>
                  <w:r w:rsidR="007B4929" w:rsidRPr="007E4D43">
                    <w:rPr>
                      <w:rFonts w:ascii="Arial" w:hAnsi="Arial" w:cs="Arial"/>
                      <w:color w:val="000000"/>
                      <w:sz w:val="20"/>
                      <w:szCs w:val="20"/>
                    </w:rPr>
                    <w:br/>
                    <w:t>(370.0 KB)</w:t>
                  </w:r>
                </w:p>
              </w:tc>
            </w:tr>
            <w:tr w:rsidR="007B4929" w:rsidRPr="007E4D43" w:rsidTr="007B4929">
              <w:trPr>
                <w:tblCellSpacing w:w="15" w:type="dxa"/>
              </w:trPr>
              <w:tc>
                <w:tcPr>
                  <w:tcW w:w="695"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10/10/2023</w:t>
                  </w:r>
                </w:p>
              </w:tc>
              <w:tc>
                <w:tcPr>
                  <w:tcW w:w="695"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1 Sa 107/22</w:t>
                  </w:r>
                </w:p>
              </w:tc>
              <w:tc>
                <w:tcPr>
                  <w:tcW w:w="499" w:type="pct"/>
                  <w:shd w:val="clear" w:color="auto" w:fill="FFFFFF"/>
                </w:tcPr>
                <w:p w:rsidR="007B4929" w:rsidRPr="007E4D43" w:rsidRDefault="007B4929" w:rsidP="007E4D43">
                  <w:pPr>
                    <w:jc w:val="both"/>
                    <w:rPr>
                      <w:rFonts w:ascii="Arial" w:hAnsi="Arial" w:cs="Arial"/>
                      <w:color w:val="000000"/>
                      <w:sz w:val="20"/>
                      <w:szCs w:val="20"/>
                    </w:rPr>
                  </w:pPr>
                </w:p>
              </w:tc>
              <w:tc>
                <w:tcPr>
                  <w:tcW w:w="564"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LAG Schleswig-Holstein</w:t>
                  </w:r>
                </w:p>
              </w:tc>
              <w:tc>
                <w:tcPr>
                  <w:tcW w:w="1798" w:type="pct"/>
                  <w:shd w:val="clear" w:color="auto" w:fill="FFFFFF"/>
                  <w:tcMar>
                    <w:top w:w="20" w:type="dxa"/>
                    <w:left w:w="20" w:type="dxa"/>
                    <w:bottom w:w="20" w:type="dxa"/>
                    <w:right w:w="20" w:type="dxa"/>
                  </w:tcMar>
                  <w:hideMark/>
                </w:tcPr>
                <w:p w:rsidR="007B4929" w:rsidRPr="007E4D43" w:rsidRDefault="007B4929" w:rsidP="007B4929">
                  <w:pPr>
                    <w:rPr>
                      <w:rFonts w:ascii="Arial" w:hAnsi="Arial" w:cs="Arial"/>
                      <w:sz w:val="20"/>
                      <w:szCs w:val="20"/>
                    </w:rPr>
                  </w:pPr>
                  <w:r w:rsidRPr="007E4D43">
                    <w:rPr>
                      <w:rFonts w:ascii="Arial" w:hAnsi="Arial" w:cs="Arial"/>
                      <w:color w:val="000000"/>
                      <w:sz w:val="20"/>
                      <w:szCs w:val="20"/>
                    </w:rPr>
                    <w:t xml:space="preserve">Feststellungsklage, </w:t>
                  </w:r>
                  <w:proofErr w:type="spellStart"/>
                  <w:r w:rsidRPr="007E4D43">
                    <w:rPr>
                      <w:rFonts w:ascii="Arial" w:hAnsi="Arial" w:cs="Arial"/>
                      <w:color w:val="000000"/>
                      <w:sz w:val="20"/>
                      <w:szCs w:val="20"/>
                    </w:rPr>
                    <w:t>Elementenfeststellungsklage</w:t>
                  </w:r>
                  <w:proofErr w:type="spellEnd"/>
                  <w:r w:rsidRPr="007E4D43">
                    <w:rPr>
                      <w:rFonts w:ascii="Arial" w:hAnsi="Arial" w:cs="Arial"/>
                      <w:color w:val="000000"/>
                      <w:sz w:val="20"/>
                      <w:szCs w:val="20"/>
                    </w:rPr>
                    <w:t xml:space="preserve">, Zulässigkeit, </w:t>
                  </w:r>
                  <w:proofErr w:type="spellStart"/>
                  <w:r w:rsidRPr="007E4D43">
                    <w:rPr>
                      <w:rFonts w:ascii="Arial" w:hAnsi="Arial" w:cs="Arial"/>
                      <w:color w:val="000000"/>
                      <w:sz w:val="20"/>
                      <w:szCs w:val="20"/>
                    </w:rPr>
                    <w:t>ZIelvereinbarung</w:t>
                  </w:r>
                  <w:proofErr w:type="spellEnd"/>
                  <w:r w:rsidRPr="007E4D43">
                    <w:rPr>
                      <w:rFonts w:ascii="Arial" w:hAnsi="Arial" w:cs="Arial"/>
                      <w:color w:val="000000"/>
                      <w:sz w:val="20"/>
                      <w:szCs w:val="20"/>
                    </w:rPr>
                    <w:t xml:space="preserve">, </w:t>
                  </w:r>
                  <w:proofErr w:type="spellStart"/>
                  <w:r w:rsidRPr="007E4D43">
                    <w:rPr>
                      <w:rFonts w:ascii="Arial" w:hAnsi="Arial" w:cs="Arial"/>
                      <w:color w:val="000000"/>
                      <w:sz w:val="20"/>
                      <w:szCs w:val="20"/>
                    </w:rPr>
                    <w:t>ZIelprovision</w:t>
                  </w:r>
                  <w:proofErr w:type="spellEnd"/>
                  <w:r w:rsidRPr="007E4D43">
                    <w:rPr>
                      <w:rFonts w:ascii="Arial" w:hAnsi="Arial" w:cs="Arial"/>
                      <w:color w:val="000000"/>
                      <w:sz w:val="20"/>
                      <w:szCs w:val="20"/>
                    </w:rPr>
                    <w:t>, Prämie, Betriebliche Übung, Individuelle Übung, Leistungsbestimmungsrecht, Konkretisierung, Betriebsrat, Mitbestimmung</w:t>
                  </w:r>
                </w:p>
              </w:tc>
              <w:tc>
                <w:tcPr>
                  <w:tcW w:w="630" w:type="pct"/>
                  <w:shd w:val="clear" w:color="auto" w:fill="FFFFFF"/>
                  <w:tcMar>
                    <w:top w:w="20" w:type="dxa"/>
                    <w:left w:w="20" w:type="dxa"/>
                    <w:bottom w:w="20" w:type="dxa"/>
                    <w:right w:w="20" w:type="dxa"/>
                  </w:tcMar>
                  <w:hideMark/>
                </w:tcPr>
                <w:p w:rsidR="007B4929" w:rsidRPr="007E4D43" w:rsidRDefault="00AF322A" w:rsidP="007E4D43">
                  <w:pPr>
                    <w:jc w:val="both"/>
                    <w:rPr>
                      <w:rFonts w:ascii="Arial" w:hAnsi="Arial" w:cs="Arial"/>
                      <w:sz w:val="20"/>
                      <w:szCs w:val="20"/>
                    </w:rPr>
                  </w:pPr>
                  <w:hyperlink r:id="rId26" w:tgtFrame="_blank" w:history="1">
                    <w:r w:rsidR="007B4929" w:rsidRPr="007E4D43">
                      <w:rPr>
                        <w:rStyle w:val="Hyperlink"/>
                        <w:rFonts w:ascii="Arial" w:hAnsi="Arial" w:cs="Arial"/>
                        <w:sz w:val="20"/>
                        <w:szCs w:val="20"/>
                      </w:rPr>
                      <w:t>Urteil-1-Sa-107-22-28-06-2023.pdf</w:t>
                    </w:r>
                  </w:hyperlink>
                  <w:r w:rsidR="007B4929" w:rsidRPr="007E4D43">
                    <w:rPr>
                      <w:rFonts w:ascii="Arial" w:hAnsi="Arial" w:cs="Arial"/>
                      <w:color w:val="000000"/>
                      <w:sz w:val="20"/>
                      <w:szCs w:val="20"/>
                    </w:rPr>
                    <w:br/>
                    <w:t>(294.2 KB)</w:t>
                  </w:r>
                </w:p>
              </w:tc>
            </w:tr>
            <w:tr w:rsidR="007B4929" w:rsidRPr="007E4D43" w:rsidTr="007B4929">
              <w:trPr>
                <w:tblCellSpacing w:w="15" w:type="dxa"/>
              </w:trPr>
              <w:tc>
                <w:tcPr>
                  <w:tcW w:w="695"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10/10/2023</w:t>
                  </w:r>
                </w:p>
              </w:tc>
              <w:tc>
                <w:tcPr>
                  <w:tcW w:w="695"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1 Sa 115/22</w:t>
                  </w:r>
                </w:p>
              </w:tc>
              <w:tc>
                <w:tcPr>
                  <w:tcW w:w="499" w:type="pct"/>
                  <w:shd w:val="clear" w:color="auto" w:fill="FFFFFF"/>
                </w:tcPr>
                <w:p w:rsidR="007B4929" w:rsidRPr="007E4D43" w:rsidRDefault="007B4929" w:rsidP="007E4D43">
                  <w:pPr>
                    <w:jc w:val="both"/>
                    <w:rPr>
                      <w:rFonts w:ascii="Arial" w:hAnsi="Arial" w:cs="Arial"/>
                      <w:color w:val="000000"/>
                      <w:sz w:val="20"/>
                      <w:szCs w:val="20"/>
                    </w:rPr>
                  </w:pPr>
                </w:p>
              </w:tc>
              <w:tc>
                <w:tcPr>
                  <w:tcW w:w="564"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LAG Schleswig-Holstein</w:t>
                  </w:r>
                </w:p>
              </w:tc>
              <w:tc>
                <w:tcPr>
                  <w:tcW w:w="1798" w:type="pct"/>
                  <w:shd w:val="clear" w:color="auto" w:fill="FFFFFF"/>
                  <w:tcMar>
                    <w:top w:w="20" w:type="dxa"/>
                    <w:left w:w="20" w:type="dxa"/>
                    <w:bottom w:w="20" w:type="dxa"/>
                    <w:right w:w="20" w:type="dxa"/>
                  </w:tcMar>
                  <w:hideMark/>
                </w:tcPr>
                <w:p w:rsidR="007B4929" w:rsidRPr="007E4D43" w:rsidRDefault="007B4929" w:rsidP="007B4929">
                  <w:pPr>
                    <w:rPr>
                      <w:rFonts w:ascii="Arial" w:hAnsi="Arial" w:cs="Arial"/>
                      <w:sz w:val="20"/>
                      <w:szCs w:val="20"/>
                    </w:rPr>
                  </w:pPr>
                  <w:r w:rsidRPr="007E4D43">
                    <w:rPr>
                      <w:rFonts w:ascii="Arial" w:hAnsi="Arial" w:cs="Arial"/>
                      <w:color w:val="000000"/>
                      <w:sz w:val="20"/>
                      <w:szCs w:val="20"/>
                    </w:rPr>
                    <w:t xml:space="preserve">Feststellungsklage, </w:t>
                  </w:r>
                  <w:proofErr w:type="spellStart"/>
                  <w:r w:rsidRPr="007E4D43">
                    <w:rPr>
                      <w:rFonts w:ascii="Arial" w:hAnsi="Arial" w:cs="Arial"/>
                      <w:color w:val="000000"/>
                      <w:sz w:val="20"/>
                      <w:szCs w:val="20"/>
                    </w:rPr>
                    <w:t>Elementenfeststellungsklage</w:t>
                  </w:r>
                  <w:proofErr w:type="spellEnd"/>
                  <w:r w:rsidRPr="007E4D43">
                    <w:rPr>
                      <w:rFonts w:ascii="Arial" w:hAnsi="Arial" w:cs="Arial"/>
                      <w:color w:val="000000"/>
                      <w:sz w:val="20"/>
                      <w:szCs w:val="20"/>
                    </w:rPr>
                    <w:t xml:space="preserve">, Zulässigkeit, </w:t>
                  </w:r>
                  <w:proofErr w:type="spellStart"/>
                  <w:r w:rsidRPr="007E4D43">
                    <w:rPr>
                      <w:rFonts w:ascii="Arial" w:hAnsi="Arial" w:cs="Arial"/>
                      <w:color w:val="000000"/>
                      <w:sz w:val="20"/>
                      <w:szCs w:val="20"/>
                    </w:rPr>
                    <w:t>ZIelvereinbarung</w:t>
                  </w:r>
                  <w:proofErr w:type="spellEnd"/>
                  <w:r w:rsidRPr="007E4D43">
                    <w:rPr>
                      <w:rFonts w:ascii="Arial" w:hAnsi="Arial" w:cs="Arial"/>
                      <w:color w:val="000000"/>
                      <w:sz w:val="20"/>
                      <w:szCs w:val="20"/>
                    </w:rPr>
                    <w:t xml:space="preserve">, </w:t>
                  </w:r>
                  <w:proofErr w:type="spellStart"/>
                  <w:r w:rsidRPr="007E4D43">
                    <w:rPr>
                      <w:rFonts w:ascii="Arial" w:hAnsi="Arial" w:cs="Arial"/>
                      <w:color w:val="000000"/>
                      <w:sz w:val="20"/>
                      <w:szCs w:val="20"/>
                    </w:rPr>
                    <w:t>ZIelprovision</w:t>
                  </w:r>
                  <w:proofErr w:type="spellEnd"/>
                  <w:r w:rsidRPr="007E4D43">
                    <w:rPr>
                      <w:rFonts w:ascii="Arial" w:hAnsi="Arial" w:cs="Arial"/>
                      <w:color w:val="000000"/>
                      <w:sz w:val="20"/>
                      <w:szCs w:val="20"/>
                    </w:rPr>
                    <w:t>, Prämie, Betriebliche Übung, Individuelle Übung, Leistungsbestimmungsrecht, Konkretisierung, Betriebsrat, Mitbestimmung</w:t>
                  </w:r>
                </w:p>
              </w:tc>
              <w:tc>
                <w:tcPr>
                  <w:tcW w:w="630" w:type="pct"/>
                  <w:shd w:val="clear" w:color="auto" w:fill="FFFFFF"/>
                  <w:tcMar>
                    <w:top w:w="20" w:type="dxa"/>
                    <w:left w:w="20" w:type="dxa"/>
                    <w:bottom w:w="20" w:type="dxa"/>
                    <w:right w:w="20" w:type="dxa"/>
                  </w:tcMar>
                  <w:hideMark/>
                </w:tcPr>
                <w:p w:rsidR="007B4929" w:rsidRPr="007E4D43" w:rsidRDefault="00AF322A" w:rsidP="007E4D43">
                  <w:pPr>
                    <w:jc w:val="both"/>
                    <w:rPr>
                      <w:rFonts w:ascii="Arial" w:hAnsi="Arial" w:cs="Arial"/>
                      <w:sz w:val="20"/>
                      <w:szCs w:val="20"/>
                    </w:rPr>
                  </w:pPr>
                  <w:hyperlink r:id="rId27" w:tgtFrame="_blank" w:history="1">
                    <w:r w:rsidR="007B4929" w:rsidRPr="007E4D43">
                      <w:rPr>
                        <w:rStyle w:val="Hyperlink"/>
                        <w:rFonts w:ascii="Arial" w:hAnsi="Arial" w:cs="Arial"/>
                        <w:sz w:val="20"/>
                        <w:szCs w:val="20"/>
                      </w:rPr>
                      <w:t>Urteil-1-Sa-115-22-28-06-2023.pdf</w:t>
                    </w:r>
                  </w:hyperlink>
                  <w:r w:rsidR="007B4929" w:rsidRPr="007E4D43">
                    <w:rPr>
                      <w:rFonts w:ascii="Arial" w:hAnsi="Arial" w:cs="Arial"/>
                      <w:color w:val="000000"/>
                      <w:sz w:val="20"/>
                      <w:szCs w:val="20"/>
                    </w:rPr>
                    <w:br/>
                    <w:t>(359.4 KB)</w:t>
                  </w:r>
                </w:p>
              </w:tc>
            </w:tr>
            <w:tr w:rsidR="007B4929" w:rsidRPr="007E4D43" w:rsidTr="007B4929">
              <w:trPr>
                <w:tblCellSpacing w:w="15" w:type="dxa"/>
              </w:trPr>
              <w:tc>
                <w:tcPr>
                  <w:tcW w:w="695"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27/09/2023</w:t>
                  </w:r>
                </w:p>
              </w:tc>
              <w:tc>
                <w:tcPr>
                  <w:tcW w:w="695"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5 Sa 200/22</w:t>
                  </w:r>
                </w:p>
              </w:tc>
              <w:tc>
                <w:tcPr>
                  <w:tcW w:w="499" w:type="pct"/>
                  <w:shd w:val="clear" w:color="auto" w:fill="FFFFFF"/>
                </w:tcPr>
                <w:p w:rsidR="007B4929" w:rsidRPr="007E4D43" w:rsidRDefault="007B4929" w:rsidP="007E4D43">
                  <w:pPr>
                    <w:jc w:val="both"/>
                    <w:rPr>
                      <w:rFonts w:ascii="Arial" w:hAnsi="Arial" w:cs="Arial"/>
                      <w:color w:val="000000"/>
                      <w:sz w:val="20"/>
                      <w:szCs w:val="20"/>
                    </w:rPr>
                  </w:pPr>
                </w:p>
              </w:tc>
              <w:tc>
                <w:tcPr>
                  <w:tcW w:w="564"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LAG Schleswig-Holstein</w:t>
                  </w:r>
                </w:p>
              </w:tc>
              <w:tc>
                <w:tcPr>
                  <w:tcW w:w="1798" w:type="pct"/>
                  <w:shd w:val="clear" w:color="auto" w:fill="FFFFFF"/>
                  <w:tcMar>
                    <w:top w:w="20" w:type="dxa"/>
                    <w:left w:w="20" w:type="dxa"/>
                    <w:bottom w:w="20" w:type="dxa"/>
                    <w:right w:w="20" w:type="dxa"/>
                  </w:tcMar>
                  <w:hideMark/>
                </w:tcPr>
                <w:p w:rsidR="007B4929" w:rsidRPr="007E4D43" w:rsidRDefault="007B4929" w:rsidP="007B4929">
                  <w:pPr>
                    <w:rPr>
                      <w:rFonts w:ascii="Arial" w:hAnsi="Arial" w:cs="Arial"/>
                      <w:sz w:val="20"/>
                      <w:szCs w:val="20"/>
                    </w:rPr>
                  </w:pPr>
                  <w:r w:rsidRPr="007E4D43">
                    <w:rPr>
                      <w:rFonts w:ascii="Arial" w:hAnsi="Arial" w:cs="Arial"/>
                      <w:color w:val="000000"/>
                      <w:sz w:val="20"/>
                      <w:szCs w:val="20"/>
                    </w:rPr>
                    <w:t>Altersteilzeit, Blockmodell, Vergütung, Freistellungsphase, Tariferhöhung</w:t>
                  </w:r>
                </w:p>
              </w:tc>
              <w:tc>
                <w:tcPr>
                  <w:tcW w:w="630" w:type="pct"/>
                  <w:shd w:val="clear" w:color="auto" w:fill="FFFFFF"/>
                  <w:tcMar>
                    <w:top w:w="20" w:type="dxa"/>
                    <w:left w:w="20" w:type="dxa"/>
                    <w:bottom w:w="20" w:type="dxa"/>
                    <w:right w:w="20" w:type="dxa"/>
                  </w:tcMar>
                  <w:hideMark/>
                </w:tcPr>
                <w:p w:rsidR="007B4929" w:rsidRPr="007E4D43" w:rsidRDefault="00AF322A" w:rsidP="007E4D43">
                  <w:pPr>
                    <w:jc w:val="both"/>
                    <w:rPr>
                      <w:rFonts w:ascii="Arial" w:hAnsi="Arial" w:cs="Arial"/>
                      <w:sz w:val="20"/>
                      <w:szCs w:val="20"/>
                    </w:rPr>
                  </w:pPr>
                  <w:hyperlink r:id="rId28" w:tgtFrame="_blank" w:history="1">
                    <w:r w:rsidR="007B4929" w:rsidRPr="007E4D43">
                      <w:rPr>
                        <w:rStyle w:val="Hyperlink"/>
                        <w:rFonts w:ascii="Arial" w:hAnsi="Arial" w:cs="Arial"/>
                        <w:sz w:val="20"/>
                        <w:szCs w:val="20"/>
                      </w:rPr>
                      <w:t>Urteil-5-Sa-200-22-15-06-2023.pdf</w:t>
                    </w:r>
                  </w:hyperlink>
                  <w:r w:rsidR="007B4929" w:rsidRPr="007E4D43">
                    <w:rPr>
                      <w:rFonts w:ascii="Arial" w:hAnsi="Arial" w:cs="Arial"/>
                      <w:color w:val="000000"/>
                      <w:sz w:val="20"/>
                      <w:szCs w:val="20"/>
                    </w:rPr>
                    <w:br/>
                    <w:t>(429.4 KB)</w:t>
                  </w:r>
                </w:p>
              </w:tc>
            </w:tr>
            <w:tr w:rsidR="007B4929" w:rsidRPr="007E4D43" w:rsidTr="007B4929">
              <w:trPr>
                <w:tblCellSpacing w:w="15" w:type="dxa"/>
              </w:trPr>
              <w:tc>
                <w:tcPr>
                  <w:tcW w:w="695"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27/09/2023</w:t>
                  </w:r>
                </w:p>
              </w:tc>
              <w:tc>
                <w:tcPr>
                  <w:tcW w:w="695"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1 Sa 101/22</w:t>
                  </w:r>
                </w:p>
              </w:tc>
              <w:tc>
                <w:tcPr>
                  <w:tcW w:w="499" w:type="pct"/>
                  <w:shd w:val="clear" w:color="auto" w:fill="FFFFFF"/>
                </w:tcPr>
                <w:p w:rsidR="007B4929" w:rsidRPr="007E4D43" w:rsidRDefault="007B4929" w:rsidP="007E4D43">
                  <w:pPr>
                    <w:jc w:val="both"/>
                    <w:rPr>
                      <w:rFonts w:ascii="Arial" w:hAnsi="Arial" w:cs="Arial"/>
                      <w:color w:val="000000"/>
                      <w:sz w:val="20"/>
                      <w:szCs w:val="20"/>
                    </w:rPr>
                  </w:pPr>
                </w:p>
              </w:tc>
              <w:tc>
                <w:tcPr>
                  <w:tcW w:w="564" w:type="pct"/>
                  <w:shd w:val="clear" w:color="auto" w:fill="FFFFFF"/>
                  <w:tcMar>
                    <w:top w:w="20" w:type="dxa"/>
                    <w:left w:w="20" w:type="dxa"/>
                    <w:bottom w:w="20" w:type="dxa"/>
                    <w:right w:w="20" w:type="dxa"/>
                  </w:tcMar>
                  <w:hideMark/>
                </w:tcPr>
                <w:p w:rsidR="007B4929" w:rsidRPr="007E4D43" w:rsidRDefault="007B4929" w:rsidP="007E4D43">
                  <w:pPr>
                    <w:jc w:val="both"/>
                    <w:rPr>
                      <w:rFonts w:ascii="Arial" w:hAnsi="Arial" w:cs="Arial"/>
                      <w:sz w:val="20"/>
                      <w:szCs w:val="20"/>
                    </w:rPr>
                  </w:pPr>
                  <w:r w:rsidRPr="007E4D43">
                    <w:rPr>
                      <w:rFonts w:ascii="Arial" w:hAnsi="Arial" w:cs="Arial"/>
                      <w:color w:val="000000"/>
                      <w:sz w:val="20"/>
                      <w:szCs w:val="20"/>
                    </w:rPr>
                    <w:t>LAG Schleswig-Holstein</w:t>
                  </w:r>
                </w:p>
              </w:tc>
              <w:tc>
                <w:tcPr>
                  <w:tcW w:w="1798" w:type="pct"/>
                  <w:shd w:val="clear" w:color="auto" w:fill="FFFFFF"/>
                  <w:tcMar>
                    <w:top w:w="20" w:type="dxa"/>
                    <w:left w:w="20" w:type="dxa"/>
                    <w:bottom w:w="20" w:type="dxa"/>
                    <w:right w:w="20" w:type="dxa"/>
                  </w:tcMar>
                  <w:hideMark/>
                </w:tcPr>
                <w:p w:rsidR="007B4929" w:rsidRPr="007E4D43" w:rsidRDefault="007B4929" w:rsidP="007B4929">
                  <w:pPr>
                    <w:rPr>
                      <w:rFonts w:ascii="Arial" w:hAnsi="Arial" w:cs="Arial"/>
                      <w:sz w:val="20"/>
                      <w:szCs w:val="20"/>
                    </w:rPr>
                  </w:pPr>
                  <w:r w:rsidRPr="007E4D43">
                    <w:rPr>
                      <w:rFonts w:ascii="Arial" w:hAnsi="Arial" w:cs="Arial"/>
                      <w:color w:val="000000"/>
                      <w:sz w:val="20"/>
                      <w:szCs w:val="20"/>
                    </w:rPr>
                    <w:t xml:space="preserve">Feststellungsklage, </w:t>
                  </w:r>
                  <w:proofErr w:type="spellStart"/>
                  <w:r w:rsidRPr="007E4D43">
                    <w:rPr>
                      <w:rFonts w:ascii="Arial" w:hAnsi="Arial" w:cs="Arial"/>
                      <w:color w:val="000000"/>
                      <w:sz w:val="20"/>
                      <w:szCs w:val="20"/>
                    </w:rPr>
                    <w:t>Elementenfeststellungsklage</w:t>
                  </w:r>
                  <w:proofErr w:type="spellEnd"/>
                  <w:r w:rsidRPr="007E4D43">
                    <w:rPr>
                      <w:rFonts w:ascii="Arial" w:hAnsi="Arial" w:cs="Arial"/>
                      <w:color w:val="000000"/>
                      <w:sz w:val="20"/>
                      <w:szCs w:val="20"/>
                    </w:rPr>
                    <w:t xml:space="preserve">, Zulässigkeit, </w:t>
                  </w:r>
                  <w:proofErr w:type="spellStart"/>
                  <w:r w:rsidRPr="007E4D43">
                    <w:rPr>
                      <w:rFonts w:ascii="Arial" w:hAnsi="Arial" w:cs="Arial"/>
                      <w:color w:val="000000"/>
                      <w:sz w:val="20"/>
                      <w:szCs w:val="20"/>
                    </w:rPr>
                    <w:t>ZIelvereinbarung</w:t>
                  </w:r>
                  <w:proofErr w:type="spellEnd"/>
                  <w:r w:rsidRPr="007E4D43">
                    <w:rPr>
                      <w:rFonts w:ascii="Arial" w:hAnsi="Arial" w:cs="Arial"/>
                      <w:color w:val="000000"/>
                      <w:sz w:val="20"/>
                      <w:szCs w:val="20"/>
                    </w:rPr>
                    <w:t xml:space="preserve">, </w:t>
                  </w:r>
                  <w:proofErr w:type="spellStart"/>
                  <w:r w:rsidRPr="007E4D43">
                    <w:rPr>
                      <w:rFonts w:ascii="Arial" w:hAnsi="Arial" w:cs="Arial"/>
                      <w:color w:val="000000"/>
                      <w:sz w:val="20"/>
                      <w:szCs w:val="20"/>
                    </w:rPr>
                    <w:t>ZIelprovision</w:t>
                  </w:r>
                  <w:proofErr w:type="spellEnd"/>
                  <w:r w:rsidRPr="007E4D43">
                    <w:rPr>
                      <w:rFonts w:ascii="Arial" w:hAnsi="Arial" w:cs="Arial"/>
                      <w:color w:val="000000"/>
                      <w:sz w:val="20"/>
                      <w:szCs w:val="20"/>
                    </w:rPr>
                    <w:t>, Prämie, Betriebliche Übung, Individuelle Übung, Leistungsbestimmungsrecht, Konkretisierung, Betriebsrat, Mitbestimmung</w:t>
                  </w:r>
                </w:p>
              </w:tc>
              <w:tc>
                <w:tcPr>
                  <w:tcW w:w="630" w:type="pct"/>
                  <w:shd w:val="clear" w:color="auto" w:fill="FFFFFF"/>
                  <w:tcMar>
                    <w:top w:w="20" w:type="dxa"/>
                    <w:left w:w="20" w:type="dxa"/>
                    <w:bottom w:w="20" w:type="dxa"/>
                    <w:right w:w="20" w:type="dxa"/>
                  </w:tcMar>
                  <w:hideMark/>
                </w:tcPr>
                <w:p w:rsidR="007B4929" w:rsidRPr="007E4D43" w:rsidRDefault="00AF322A" w:rsidP="007E4D43">
                  <w:pPr>
                    <w:jc w:val="both"/>
                    <w:rPr>
                      <w:rFonts w:ascii="Arial" w:hAnsi="Arial" w:cs="Arial"/>
                      <w:sz w:val="20"/>
                      <w:szCs w:val="20"/>
                    </w:rPr>
                  </w:pPr>
                  <w:hyperlink r:id="rId29" w:tgtFrame="_blank" w:history="1">
                    <w:r w:rsidR="007B4929" w:rsidRPr="007E4D43">
                      <w:rPr>
                        <w:rStyle w:val="Hyperlink"/>
                        <w:rFonts w:ascii="Arial" w:hAnsi="Arial" w:cs="Arial"/>
                        <w:sz w:val="20"/>
                        <w:szCs w:val="20"/>
                      </w:rPr>
                      <w:t>Urteil-1-Sa-101-22-28-06-2023.pdf</w:t>
                    </w:r>
                  </w:hyperlink>
                  <w:r w:rsidR="007B4929" w:rsidRPr="007E4D43">
                    <w:rPr>
                      <w:rFonts w:ascii="Arial" w:hAnsi="Arial" w:cs="Arial"/>
                      <w:color w:val="000000"/>
                      <w:sz w:val="20"/>
                      <w:szCs w:val="20"/>
                    </w:rPr>
                    <w:br/>
                    <w:t>(362.4 KB)</w:t>
                  </w:r>
                </w:p>
              </w:tc>
            </w:tr>
          </w:tbl>
          <w:p w:rsidR="00281C35" w:rsidRPr="007E4D43" w:rsidRDefault="00281C35" w:rsidP="007E4D43">
            <w:pPr>
              <w:jc w:val="both"/>
              <w:rPr>
                <w:rFonts w:ascii="Arial" w:hAnsi="Arial" w:cs="Arial"/>
                <w:sz w:val="20"/>
                <w:szCs w:val="20"/>
              </w:rPr>
            </w:pPr>
          </w:p>
        </w:tc>
      </w:tr>
    </w:tbl>
    <w:p w:rsidR="00281C35" w:rsidRPr="007E4D43" w:rsidRDefault="00281C35" w:rsidP="007E4D43">
      <w:pPr>
        <w:jc w:val="both"/>
        <w:rPr>
          <w:rFonts w:ascii="Arial" w:hAnsi="Arial" w:cs="Arial"/>
          <w:sz w:val="20"/>
          <w:szCs w:val="20"/>
        </w:rPr>
      </w:pPr>
      <w:r w:rsidRPr="007E4D43">
        <w:rPr>
          <w:rFonts w:ascii="Arial" w:hAnsi="Arial" w:cs="Arial"/>
          <w:sz w:val="20"/>
          <w:szCs w:val="20"/>
        </w:rPr>
        <w:lastRenderedPageBreak/>
        <w:t> </w:t>
      </w: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p>
    <w:p w:rsidR="00281C35" w:rsidRPr="007E4D43" w:rsidRDefault="00281C35" w:rsidP="007E4D43">
      <w:pPr>
        <w:jc w:val="both"/>
        <w:rPr>
          <w:rFonts w:ascii="Arial" w:hAnsi="Arial" w:cs="Arial"/>
          <w:sz w:val="20"/>
          <w:szCs w:val="20"/>
        </w:rPr>
      </w:pPr>
      <w:r w:rsidRPr="007E4D43">
        <w:rPr>
          <w:rFonts w:ascii="Arial" w:hAnsi="Arial" w:cs="Arial"/>
          <w:color w:val="002060"/>
          <w:sz w:val="20"/>
          <w:szCs w:val="20"/>
        </w:rPr>
        <w:t> </w:t>
      </w:r>
    </w:p>
    <w:p w:rsidR="00281C35" w:rsidRPr="007B4929" w:rsidRDefault="007B4929" w:rsidP="007B4929">
      <w:pPr>
        <w:pStyle w:val="Listenabsatz"/>
        <w:keepNext/>
        <w:ind w:left="0"/>
        <w:jc w:val="center"/>
        <w:rPr>
          <w:rFonts w:ascii="Arial" w:hAnsi="Arial" w:cs="Arial"/>
          <w:b/>
          <w:sz w:val="20"/>
          <w:szCs w:val="20"/>
        </w:rPr>
      </w:pPr>
      <w:r w:rsidRPr="007B4929">
        <w:rPr>
          <w:rFonts w:ascii="Arial" w:hAnsi="Arial" w:cs="Arial"/>
          <w:b/>
          <w:color w:val="002060"/>
          <w:sz w:val="20"/>
          <w:szCs w:val="20"/>
        </w:rPr>
        <w:t>XV</w:t>
      </w:r>
      <w:r w:rsidR="00281C35" w:rsidRPr="007B4929">
        <w:rPr>
          <w:rFonts w:ascii="Arial" w:hAnsi="Arial" w:cs="Arial"/>
          <w:b/>
          <w:color w:val="002060"/>
          <w:sz w:val="20"/>
          <w:szCs w:val="20"/>
        </w:rPr>
        <w:t>I.</w:t>
      </w:r>
    </w:p>
    <w:p w:rsidR="00281C35" w:rsidRPr="007E4D43" w:rsidRDefault="00281C35" w:rsidP="007E4D43">
      <w:pPr>
        <w:jc w:val="center"/>
        <w:rPr>
          <w:rFonts w:ascii="Arial" w:hAnsi="Arial" w:cs="Arial"/>
          <w:sz w:val="20"/>
          <w:szCs w:val="20"/>
        </w:rPr>
      </w:pPr>
      <w:bookmarkStart w:id="1" w:name="_GoBack"/>
      <w:bookmarkEnd w:id="1"/>
      <w:r w:rsidRPr="007E4D43">
        <w:rPr>
          <w:rFonts w:ascii="Arial" w:hAnsi="Arial" w:cs="Arial"/>
          <w:b/>
          <w:bCs/>
          <w:color w:val="002060"/>
          <w:sz w:val="20"/>
          <w:szCs w:val="20"/>
        </w:rPr>
        <w:t>Bundesgerichtshof</w:t>
      </w:r>
    </w:p>
    <w:p w:rsidR="00FE1D1D" w:rsidRPr="007B4929" w:rsidRDefault="00281C35" w:rsidP="007E4D43">
      <w:pPr>
        <w:jc w:val="center"/>
        <w:rPr>
          <w:rFonts w:ascii="Arial" w:hAnsi="Arial" w:cs="Arial"/>
          <w:bCs/>
          <w:color w:val="002060"/>
          <w:sz w:val="20"/>
          <w:szCs w:val="20"/>
        </w:rPr>
      </w:pPr>
      <w:r w:rsidRPr="007B4929">
        <w:rPr>
          <w:rFonts w:ascii="Arial" w:hAnsi="Arial" w:cs="Arial"/>
          <w:bCs/>
          <w:color w:val="002060"/>
          <w:sz w:val="20"/>
          <w:szCs w:val="20"/>
        </w:rPr>
        <w:t>Beschluss vom 16. August 2023 - VII ZB 64/21</w:t>
      </w:r>
    </w:p>
    <w:p w:rsidR="009E07A0" w:rsidRDefault="00281C35" w:rsidP="009E07A0">
      <w:pPr>
        <w:jc w:val="center"/>
        <w:rPr>
          <w:rFonts w:ascii="Arial" w:hAnsi="Arial" w:cs="Arial"/>
          <w:bCs/>
          <w:color w:val="002060"/>
          <w:sz w:val="20"/>
          <w:szCs w:val="20"/>
        </w:rPr>
      </w:pPr>
      <w:r w:rsidRPr="007B4929">
        <w:rPr>
          <w:rFonts w:ascii="Arial" w:hAnsi="Arial" w:cs="Arial"/>
          <w:bCs/>
          <w:color w:val="002060"/>
          <w:sz w:val="20"/>
          <w:szCs w:val="20"/>
        </w:rPr>
        <w:t>–</w:t>
      </w:r>
    </w:p>
    <w:p w:rsidR="00281C35" w:rsidRDefault="00281C35" w:rsidP="009E07A0">
      <w:pPr>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Schlagworte/Normen:</w:t>
      </w:r>
    </w:p>
    <w:p w:rsidR="007E4D43" w:rsidRPr="007E4D43" w:rsidRDefault="007E4D43" w:rsidP="007E4D43">
      <w:pPr>
        <w:jc w:val="both"/>
        <w:rPr>
          <w:rFonts w:ascii="Arial" w:hAnsi="Arial" w:cs="Arial"/>
          <w:sz w:val="20"/>
          <w:szCs w:val="20"/>
        </w:rPr>
      </w:pPr>
    </w:p>
    <w:p w:rsidR="00281C35" w:rsidRDefault="00281C35" w:rsidP="00B816EE">
      <w:pPr>
        <w:jc w:val="center"/>
        <w:rPr>
          <w:rFonts w:ascii="Arial" w:hAnsi="Arial" w:cs="Arial"/>
          <w:b/>
          <w:bCs/>
          <w:color w:val="002060"/>
          <w:sz w:val="20"/>
          <w:szCs w:val="20"/>
        </w:rPr>
      </w:pPr>
      <w:r w:rsidRPr="007E4D43">
        <w:rPr>
          <w:rFonts w:ascii="Arial" w:hAnsi="Arial" w:cs="Arial"/>
          <w:b/>
          <w:bCs/>
          <w:color w:val="002060"/>
          <w:sz w:val="20"/>
          <w:szCs w:val="20"/>
        </w:rPr>
        <w:t>Unpfändbarkeit der Corona-Überbrückungshilfe III</w:t>
      </w:r>
    </w:p>
    <w:p w:rsidR="002F35FD" w:rsidRPr="007E4D43" w:rsidRDefault="002F35FD" w:rsidP="007E4D43">
      <w:pPr>
        <w:jc w:val="both"/>
        <w:rPr>
          <w:rFonts w:ascii="Arial" w:hAnsi="Arial" w:cs="Arial"/>
          <w:sz w:val="20"/>
          <w:szCs w:val="20"/>
        </w:rPr>
      </w:pPr>
    </w:p>
    <w:p w:rsidR="00281C35"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 xml:space="preserve">Leitsätze: </w:t>
      </w:r>
    </w:p>
    <w:p w:rsidR="002F35FD" w:rsidRPr="007E4D43" w:rsidRDefault="002F35FD" w:rsidP="007E4D43">
      <w:pPr>
        <w:jc w:val="both"/>
        <w:rPr>
          <w:rFonts w:ascii="Arial" w:hAnsi="Arial" w:cs="Arial"/>
          <w:sz w:val="20"/>
          <w:szCs w:val="20"/>
        </w:rPr>
      </w:pPr>
    </w:p>
    <w:p w:rsidR="00281C35" w:rsidRPr="007B4929" w:rsidRDefault="00281C35" w:rsidP="007B4929">
      <w:pPr>
        <w:pStyle w:val="Listenabsatz"/>
        <w:numPr>
          <w:ilvl w:val="0"/>
          <w:numId w:val="26"/>
        </w:numPr>
        <w:jc w:val="both"/>
        <w:rPr>
          <w:rFonts w:ascii="Arial" w:hAnsi="Arial" w:cs="Arial"/>
          <w:sz w:val="20"/>
          <w:szCs w:val="20"/>
        </w:rPr>
      </w:pPr>
      <w:r w:rsidRPr="007B4929">
        <w:rPr>
          <w:rFonts w:ascii="Arial" w:hAnsi="Arial" w:cs="Arial"/>
          <w:color w:val="002060"/>
          <w:sz w:val="20"/>
          <w:szCs w:val="20"/>
        </w:rPr>
        <w:t>Bei der Corona-Überbrückungshilfe III (Billigkeitsleistung des Bundes in Form einer Corona-Überbrückungshilfe für kleine und mittelständische Unternehmen, Soloselbständige und Angehörige der Freien Berufe, die in Folge der Corona-Krise erhebliche Umsatzausfälle erleiden) handelt es sich um eine nach § 851 Abs. 1 ZPO in Verbindung mit § 399 1. Fall BGB nicht pfändbare Forderung.</w:t>
      </w:r>
    </w:p>
    <w:p w:rsidR="00281C35" w:rsidRPr="007B4929" w:rsidRDefault="00281C35" w:rsidP="007B4929">
      <w:pPr>
        <w:pStyle w:val="Listenabsatz"/>
        <w:numPr>
          <w:ilvl w:val="0"/>
          <w:numId w:val="26"/>
        </w:numPr>
        <w:tabs>
          <w:tab w:val="num" w:pos="0"/>
        </w:tabs>
        <w:jc w:val="both"/>
        <w:rPr>
          <w:rFonts w:ascii="Arial" w:hAnsi="Arial" w:cs="Arial"/>
          <w:color w:val="002060"/>
          <w:sz w:val="20"/>
          <w:szCs w:val="20"/>
        </w:rPr>
      </w:pPr>
      <w:r w:rsidRPr="007B4929">
        <w:rPr>
          <w:rFonts w:ascii="Arial" w:hAnsi="Arial" w:cs="Arial"/>
          <w:color w:val="002060"/>
          <w:sz w:val="20"/>
          <w:szCs w:val="20"/>
        </w:rPr>
        <w:t xml:space="preserve">Die Unpfändbarkeit der Corona-Überbrückungshilfe III setzt sich nach deren Überweisung nicht an der Gutschrift auf einem regulären Girokonto des Schuldners fort. Ist der Schuldner eine juristische Person, kann er sich insoweit nicht auf eine entsprechende Anwendung der für ein Pfändungsschutzkonto gemäß § 850k ZPO geltenden Schutzvorschriften berufen; ihm steht </w:t>
      </w:r>
      <w:r w:rsidRPr="007B4929">
        <w:rPr>
          <w:rFonts w:ascii="Arial" w:hAnsi="Arial" w:cs="Arial"/>
          <w:color w:val="002060"/>
          <w:sz w:val="20"/>
          <w:szCs w:val="20"/>
        </w:rPr>
        <w:lastRenderedPageBreak/>
        <w:t>lediglich im Einzelfallbei einer gegen die guten Sitten verstoßenden unzumutbaren Härte Vollstreckungsschutz gemäß § 765a ZPO zu.</w:t>
      </w:r>
    </w:p>
    <w:p w:rsidR="002F35FD" w:rsidRDefault="002F35FD" w:rsidP="002F35FD">
      <w:pPr>
        <w:jc w:val="both"/>
        <w:rPr>
          <w:rFonts w:ascii="Arial" w:hAnsi="Arial" w:cs="Arial"/>
          <w:sz w:val="20"/>
          <w:szCs w:val="20"/>
        </w:rPr>
      </w:pPr>
    </w:p>
    <w:p w:rsidR="002F35FD" w:rsidRDefault="00281C35" w:rsidP="007E4D43">
      <w:pPr>
        <w:jc w:val="both"/>
        <w:rPr>
          <w:rFonts w:ascii="Arial" w:hAnsi="Arial" w:cs="Arial"/>
          <w:b/>
          <w:bCs/>
          <w:color w:val="002060"/>
          <w:sz w:val="20"/>
          <w:szCs w:val="20"/>
          <w:u w:val="single"/>
        </w:rPr>
      </w:pPr>
      <w:r w:rsidRPr="007E4D43">
        <w:rPr>
          <w:rFonts w:ascii="Arial" w:hAnsi="Arial" w:cs="Arial"/>
          <w:b/>
          <w:bCs/>
          <w:color w:val="002060"/>
          <w:sz w:val="20"/>
          <w:szCs w:val="20"/>
        </w:rPr>
        <w:t> </w:t>
      </w:r>
      <w:r w:rsidRPr="007E4D43">
        <w:rPr>
          <w:rFonts w:ascii="Arial" w:hAnsi="Arial" w:cs="Arial"/>
          <w:b/>
          <w:bCs/>
          <w:color w:val="002060"/>
          <w:sz w:val="20"/>
          <w:szCs w:val="20"/>
          <w:u w:val="single"/>
        </w:rPr>
        <w:t>Siehe:</w:t>
      </w:r>
    </w:p>
    <w:p w:rsidR="002F35FD" w:rsidRPr="002F35FD" w:rsidRDefault="002F35FD" w:rsidP="007E4D43">
      <w:pPr>
        <w:jc w:val="both"/>
        <w:rPr>
          <w:rFonts w:ascii="Arial" w:hAnsi="Arial" w:cs="Arial"/>
          <w:b/>
          <w:bCs/>
          <w:color w:val="002060"/>
          <w:sz w:val="20"/>
          <w:szCs w:val="20"/>
          <w:u w:val="single"/>
        </w:rPr>
      </w:pPr>
    </w:p>
    <w:p w:rsidR="00281C35" w:rsidRDefault="00281C35" w:rsidP="007E4D43">
      <w:pPr>
        <w:jc w:val="both"/>
        <w:rPr>
          <w:rFonts w:ascii="Arial" w:hAnsi="Arial" w:cs="Arial"/>
          <w:color w:val="002060"/>
          <w:sz w:val="20"/>
          <w:szCs w:val="20"/>
          <w:u w:val="single"/>
        </w:rPr>
      </w:pPr>
      <w:r w:rsidRPr="007E4D43">
        <w:rPr>
          <w:rFonts w:ascii="Arial" w:hAnsi="Arial" w:cs="Arial"/>
          <w:color w:val="002060"/>
          <w:sz w:val="20"/>
          <w:szCs w:val="20"/>
        </w:rPr>
        <w:t> </w:t>
      </w:r>
      <w:hyperlink r:id="rId30" w:history="1">
        <w:r w:rsidR="00FE1D1D" w:rsidRPr="007E4D43">
          <w:rPr>
            <w:rStyle w:val="Hyperlink"/>
            <w:rFonts w:ascii="Arial" w:hAnsi="Arial" w:cs="Arial"/>
            <w:sz w:val="20"/>
            <w:szCs w:val="20"/>
          </w:rPr>
          <w:t>https://juris.bundesgerichtshof.de/cgi-bin/rechtsprechung/document.py?Gericht=bgh&amp;Art=en&amp;Datum=Aktuell&amp;Sort=12288&amp;Seite=7&amp;nr=134703&amp;pos=211&amp;anz=1102</w:t>
        </w:r>
      </w:hyperlink>
    </w:p>
    <w:p w:rsidR="002F35FD" w:rsidRPr="007E4D43" w:rsidRDefault="002F35FD" w:rsidP="007E4D43">
      <w:pPr>
        <w:jc w:val="both"/>
        <w:rPr>
          <w:rFonts w:ascii="Arial" w:hAnsi="Arial" w:cs="Arial"/>
          <w:sz w:val="20"/>
          <w:szCs w:val="20"/>
        </w:rPr>
      </w:pPr>
    </w:p>
    <w:p w:rsidR="00CC485E" w:rsidRPr="00927C51" w:rsidRDefault="00281C35" w:rsidP="007B4929">
      <w:pPr>
        <w:jc w:val="both"/>
        <w:rPr>
          <w:rFonts w:ascii="Arial" w:eastAsia="Calibri" w:hAnsi="Arial" w:cs="Arial"/>
          <w:b/>
          <w:bCs/>
          <w:sz w:val="20"/>
          <w:szCs w:val="20"/>
          <w:lang w:eastAsia="de-DE"/>
        </w:rPr>
      </w:pPr>
      <w:r w:rsidRPr="007E4D43">
        <w:rPr>
          <w:rFonts w:ascii="Arial" w:hAnsi="Arial" w:cs="Arial"/>
          <w:color w:val="002060"/>
          <w:sz w:val="20"/>
          <w:szCs w:val="20"/>
        </w:rPr>
        <w:t> </w:t>
      </w:r>
    </w:p>
    <w:p w:rsidR="00927C51" w:rsidRPr="00927C51" w:rsidRDefault="00927C51" w:rsidP="00927C51">
      <w:pPr>
        <w:rPr>
          <w:rFonts w:ascii="Arial" w:hAnsi="Arial" w:cs="Arial"/>
          <w:b/>
          <w:bCs/>
          <w:sz w:val="20"/>
          <w:szCs w:val="20"/>
          <w:lang w:eastAsia="de-DE"/>
        </w:rPr>
      </w:pPr>
    </w:p>
    <w:p w:rsidR="009A56DF" w:rsidRPr="007E4D43" w:rsidRDefault="009A56DF" w:rsidP="009A56DF">
      <w:pPr>
        <w:rPr>
          <w:rFonts w:ascii="Arial" w:hAnsi="Arial" w:cs="Arial"/>
          <w:sz w:val="20"/>
          <w:szCs w:val="20"/>
        </w:rPr>
      </w:pPr>
      <w:r w:rsidRPr="007E4D43">
        <w:rPr>
          <w:rFonts w:ascii="Arial" w:hAnsi="Arial" w:cs="Arial"/>
          <w:sz w:val="20"/>
          <w:szCs w:val="20"/>
        </w:rPr>
        <w:t>Mit besten Grüßen</w:t>
      </w:r>
    </w:p>
    <w:p w:rsidR="009A56DF" w:rsidRPr="007E4D43" w:rsidRDefault="009A56DF" w:rsidP="009A56DF">
      <w:pPr>
        <w:rPr>
          <w:rFonts w:ascii="Arial" w:hAnsi="Arial" w:cs="Arial"/>
          <w:sz w:val="20"/>
          <w:szCs w:val="20"/>
        </w:rPr>
      </w:pPr>
      <w:r w:rsidRPr="007E4D43">
        <w:rPr>
          <w:rFonts w:ascii="Arial" w:hAnsi="Arial" w:cs="Arial"/>
          <w:sz w:val="20"/>
          <w:szCs w:val="20"/>
        </w:rPr>
        <w:t>Ihr</w:t>
      </w:r>
    </w:p>
    <w:p w:rsidR="009A56DF" w:rsidRPr="007E4D43" w:rsidRDefault="009A56DF" w:rsidP="009A56DF">
      <w:pPr>
        <w:rPr>
          <w:rFonts w:ascii="Arial" w:hAnsi="Arial" w:cs="Arial"/>
          <w:sz w:val="20"/>
          <w:szCs w:val="20"/>
        </w:rPr>
      </w:pPr>
    </w:p>
    <w:p w:rsidR="009A56DF" w:rsidRPr="007E4D43" w:rsidRDefault="009A56DF" w:rsidP="009A56DF">
      <w:pPr>
        <w:rPr>
          <w:rFonts w:ascii="Arial" w:hAnsi="Arial" w:cs="Arial"/>
          <w:sz w:val="20"/>
          <w:szCs w:val="20"/>
        </w:rPr>
      </w:pPr>
      <w:r w:rsidRPr="007E4D43">
        <w:rPr>
          <w:rFonts w:ascii="Arial" w:hAnsi="Arial" w:cs="Arial"/>
          <w:sz w:val="20"/>
          <w:szCs w:val="20"/>
        </w:rPr>
        <w:t>Michael Henn</w:t>
      </w:r>
    </w:p>
    <w:p w:rsidR="009A56DF" w:rsidRPr="007E4D43" w:rsidRDefault="009A56DF" w:rsidP="009A56DF">
      <w:pPr>
        <w:rPr>
          <w:rFonts w:ascii="Arial" w:hAnsi="Arial" w:cs="Arial"/>
          <w:sz w:val="20"/>
          <w:szCs w:val="20"/>
        </w:rPr>
      </w:pPr>
      <w:r w:rsidRPr="007E4D43">
        <w:rPr>
          <w:rFonts w:ascii="Arial" w:hAnsi="Arial" w:cs="Arial"/>
          <w:sz w:val="20"/>
          <w:szCs w:val="20"/>
        </w:rPr>
        <w:t>Rechtsanwalt</w:t>
      </w:r>
    </w:p>
    <w:p w:rsidR="009A56DF" w:rsidRPr="007E4D43" w:rsidRDefault="009A56DF" w:rsidP="009A56DF">
      <w:pPr>
        <w:rPr>
          <w:rFonts w:ascii="Arial" w:hAnsi="Arial" w:cs="Arial"/>
          <w:sz w:val="20"/>
          <w:szCs w:val="20"/>
        </w:rPr>
      </w:pPr>
      <w:r w:rsidRPr="007E4D43">
        <w:rPr>
          <w:rFonts w:ascii="Arial" w:hAnsi="Arial" w:cs="Arial"/>
          <w:sz w:val="20"/>
          <w:szCs w:val="20"/>
        </w:rPr>
        <w:t>Fachanwalt für Erbrecht</w:t>
      </w:r>
    </w:p>
    <w:p w:rsidR="009A56DF" w:rsidRPr="007E4D43" w:rsidRDefault="009A56DF" w:rsidP="009A56DF">
      <w:pPr>
        <w:rPr>
          <w:rFonts w:ascii="Arial" w:hAnsi="Arial" w:cs="Arial"/>
          <w:sz w:val="20"/>
          <w:szCs w:val="20"/>
        </w:rPr>
      </w:pPr>
      <w:r w:rsidRPr="007E4D43">
        <w:rPr>
          <w:rFonts w:ascii="Arial" w:hAnsi="Arial" w:cs="Arial"/>
          <w:sz w:val="20"/>
          <w:szCs w:val="20"/>
        </w:rPr>
        <w:t>Fachanwalt für Arbeitsrecht</w:t>
      </w:r>
    </w:p>
    <w:p w:rsidR="009A56DF" w:rsidRPr="007E4D43" w:rsidRDefault="009A56DF" w:rsidP="009A56DF">
      <w:pPr>
        <w:rPr>
          <w:rFonts w:ascii="Arial" w:hAnsi="Arial" w:cs="Arial"/>
          <w:sz w:val="20"/>
          <w:szCs w:val="20"/>
        </w:rPr>
      </w:pPr>
      <w:r w:rsidRPr="007E4D43">
        <w:rPr>
          <w:rFonts w:ascii="Arial" w:hAnsi="Arial" w:cs="Arial"/>
          <w:sz w:val="20"/>
          <w:szCs w:val="20"/>
        </w:rPr>
        <w:t>VDAA – Präsident</w:t>
      </w:r>
    </w:p>
    <w:p w:rsidR="009A56DF" w:rsidRPr="007E4D43" w:rsidRDefault="009A56DF" w:rsidP="009A56DF">
      <w:pPr>
        <w:rPr>
          <w:rFonts w:ascii="Arial" w:hAnsi="Arial" w:cs="Arial"/>
          <w:sz w:val="20"/>
          <w:szCs w:val="20"/>
        </w:rPr>
      </w:pPr>
    </w:p>
    <w:p w:rsidR="009A56DF" w:rsidRPr="007E4D43" w:rsidRDefault="009A56DF" w:rsidP="009A56DF">
      <w:pPr>
        <w:rPr>
          <w:rFonts w:ascii="Arial" w:eastAsia="Times New Roman" w:hAnsi="Arial" w:cs="Arial"/>
          <w:b/>
          <w:bCs/>
          <w:sz w:val="20"/>
          <w:szCs w:val="20"/>
          <w:lang w:eastAsia="de-DE"/>
        </w:rPr>
      </w:pPr>
      <w:r w:rsidRPr="007E4D43">
        <w:rPr>
          <w:rFonts w:ascii="Arial" w:eastAsia="Times New Roman" w:hAnsi="Arial" w:cs="Arial"/>
          <w:b/>
          <w:bCs/>
          <w:sz w:val="20"/>
          <w:szCs w:val="20"/>
          <w:lang w:eastAsia="de-DE"/>
        </w:rPr>
        <w:t>VDAA - Verband deutscher ArbeitsrechtsAnwälte e.V.</w:t>
      </w:r>
    </w:p>
    <w:p w:rsidR="009A56DF" w:rsidRPr="007E4D43" w:rsidRDefault="009A56DF" w:rsidP="009A56DF">
      <w:pPr>
        <w:rPr>
          <w:rFonts w:ascii="Arial" w:eastAsia="Times New Roman" w:hAnsi="Arial" w:cs="Arial"/>
          <w:b/>
          <w:bCs/>
          <w:sz w:val="20"/>
          <w:szCs w:val="20"/>
          <w:lang w:eastAsia="de-DE"/>
        </w:rPr>
      </w:pPr>
      <w:proofErr w:type="spellStart"/>
      <w:r w:rsidRPr="007E4D43">
        <w:rPr>
          <w:rFonts w:ascii="Arial" w:eastAsia="Times New Roman" w:hAnsi="Arial" w:cs="Arial"/>
          <w:b/>
          <w:bCs/>
          <w:sz w:val="20"/>
          <w:szCs w:val="20"/>
          <w:lang w:eastAsia="de-DE"/>
        </w:rPr>
        <w:t>Gerokstr</w:t>
      </w:r>
      <w:proofErr w:type="spellEnd"/>
      <w:r w:rsidRPr="007E4D43">
        <w:rPr>
          <w:rFonts w:ascii="Arial" w:eastAsia="Times New Roman" w:hAnsi="Arial" w:cs="Arial"/>
          <w:b/>
          <w:bCs/>
          <w:sz w:val="20"/>
          <w:szCs w:val="20"/>
          <w:lang w:eastAsia="de-DE"/>
        </w:rPr>
        <w:t>. 8</w:t>
      </w:r>
    </w:p>
    <w:p w:rsidR="009A56DF" w:rsidRPr="007E4D43" w:rsidRDefault="009A56DF" w:rsidP="009A56DF">
      <w:pPr>
        <w:rPr>
          <w:rFonts w:ascii="Arial" w:eastAsia="Times New Roman" w:hAnsi="Arial" w:cs="Arial"/>
          <w:b/>
          <w:bCs/>
          <w:sz w:val="20"/>
          <w:szCs w:val="20"/>
          <w:lang w:eastAsia="de-DE"/>
        </w:rPr>
      </w:pPr>
      <w:r w:rsidRPr="007E4D43">
        <w:rPr>
          <w:rFonts w:ascii="Arial" w:eastAsia="Times New Roman" w:hAnsi="Arial" w:cs="Arial"/>
          <w:b/>
          <w:bCs/>
          <w:sz w:val="20"/>
          <w:szCs w:val="20"/>
          <w:lang w:eastAsia="de-DE"/>
        </w:rPr>
        <w:t>70188 Stuttgart</w:t>
      </w:r>
    </w:p>
    <w:p w:rsidR="009A56DF" w:rsidRPr="007E4D43" w:rsidRDefault="009A56DF" w:rsidP="009A56DF">
      <w:pPr>
        <w:rPr>
          <w:rFonts w:ascii="Arial" w:eastAsia="Times New Roman" w:hAnsi="Arial" w:cs="Arial"/>
          <w:b/>
          <w:bCs/>
          <w:sz w:val="20"/>
          <w:szCs w:val="20"/>
          <w:lang w:eastAsia="de-DE"/>
        </w:rPr>
      </w:pPr>
      <w:r w:rsidRPr="007E4D43">
        <w:rPr>
          <w:rFonts w:ascii="Arial" w:eastAsia="Times New Roman" w:hAnsi="Arial" w:cs="Arial"/>
          <w:b/>
          <w:bCs/>
          <w:sz w:val="20"/>
          <w:szCs w:val="20"/>
          <w:lang w:eastAsia="de-DE"/>
        </w:rPr>
        <w:t>Telefon: (0711) 3058 9320</w:t>
      </w:r>
    </w:p>
    <w:p w:rsidR="009A56DF" w:rsidRPr="007E4D43" w:rsidRDefault="009A56DF" w:rsidP="009A56DF">
      <w:pPr>
        <w:rPr>
          <w:rFonts w:ascii="Arial" w:eastAsia="Times New Roman" w:hAnsi="Arial" w:cs="Arial"/>
          <w:sz w:val="20"/>
          <w:szCs w:val="20"/>
        </w:rPr>
      </w:pPr>
      <w:r w:rsidRPr="007E4D43">
        <w:rPr>
          <w:rFonts w:ascii="Arial" w:eastAsia="Times New Roman" w:hAnsi="Arial" w:cs="Arial"/>
          <w:b/>
          <w:bCs/>
          <w:sz w:val="20"/>
          <w:szCs w:val="20"/>
          <w:lang w:eastAsia="de-DE"/>
        </w:rPr>
        <w:t>Telefax: (0711) 3058 9311</w:t>
      </w:r>
    </w:p>
    <w:p w:rsidR="009A56DF" w:rsidRPr="007E4D43" w:rsidRDefault="009A56DF" w:rsidP="009A56DF">
      <w:pPr>
        <w:rPr>
          <w:rFonts w:ascii="Arial" w:eastAsia="Times New Roman" w:hAnsi="Arial" w:cs="Arial"/>
          <w:sz w:val="20"/>
          <w:szCs w:val="20"/>
        </w:rPr>
      </w:pPr>
      <w:r w:rsidRPr="007E4D43">
        <w:rPr>
          <w:rFonts w:ascii="Arial" w:eastAsia="Times New Roman" w:hAnsi="Arial" w:cs="Arial"/>
          <w:b/>
          <w:bCs/>
          <w:sz w:val="20"/>
          <w:szCs w:val="20"/>
          <w:lang w:eastAsia="de-DE"/>
        </w:rPr>
        <w:t xml:space="preserve">Email: </w:t>
      </w:r>
      <w:hyperlink r:id="rId31" w:history="1">
        <w:r w:rsidRPr="007E4D43">
          <w:rPr>
            <w:rFonts w:ascii="Arial" w:eastAsia="Times New Roman" w:hAnsi="Arial" w:cs="Arial"/>
            <w:b/>
            <w:bCs/>
            <w:sz w:val="20"/>
            <w:szCs w:val="20"/>
            <w:u w:val="single"/>
            <w:lang w:eastAsia="de-DE"/>
          </w:rPr>
          <w:t>info@vdaa.de</w:t>
        </w:r>
      </w:hyperlink>
    </w:p>
    <w:p w:rsidR="007118AA" w:rsidRPr="007E4D43" w:rsidRDefault="00AF322A">
      <w:pPr>
        <w:rPr>
          <w:rFonts w:ascii="Arial" w:eastAsia="Times New Roman" w:hAnsi="Arial" w:cs="Arial"/>
          <w:sz w:val="20"/>
          <w:szCs w:val="20"/>
        </w:rPr>
      </w:pPr>
      <w:hyperlink r:id="rId32" w:history="1">
        <w:r w:rsidR="009A56DF" w:rsidRPr="007E4D43">
          <w:rPr>
            <w:rFonts w:ascii="Arial" w:eastAsia="Times New Roman" w:hAnsi="Arial" w:cs="Arial"/>
            <w:b/>
            <w:bCs/>
            <w:sz w:val="20"/>
            <w:szCs w:val="20"/>
            <w:u w:val="single"/>
            <w:lang w:eastAsia="de-DE"/>
          </w:rPr>
          <w:t>www.vdaa.de</w:t>
        </w:r>
      </w:hyperlink>
    </w:p>
    <w:sectPr w:rsidR="007118AA" w:rsidRPr="007E4D43">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FDA" w:rsidRDefault="00A00FDA" w:rsidP="009A56DF">
      <w:r>
        <w:separator/>
      </w:r>
    </w:p>
  </w:endnote>
  <w:endnote w:type="continuationSeparator" w:id="0">
    <w:p w:rsidR="00A00FDA" w:rsidRDefault="00A00FDA" w:rsidP="009A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731566"/>
      <w:docPartObj>
        <w:docPartGallery w:val="Page Numbers (Bottom of Page)"/>
        <w:docPartUnique/>
      </w:docPartObj>
    </w:sdtPr>
    <w:sdtEndPr/>
    <w:sdtContent>
      <w:p w:rsidR="00F40A47" w:rsidRDefault="00F40A47">
        <w:pPr>
          <w:pStyle w:val="Fuzeile"/>
          <w:jc w:val="center"/>
        </w:pPr>
        <w:r>
          <w:rPr>
            <w:noProof/>
            <w:lang w:eastAsia="de-DE"/>
          </w:rPr>
          <mc:AlternateContent>
            <mc:Choice Requires="wps">
              <w:drawing>
                <wp:inline distT="0" distB="0" distL="0" distR="0">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FEE6AE"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o&#10;tgQ9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F40A47" w:rsidRDefault="00F40A47">
        <w:pPr>
          <w:pStyle w:val="Fuzeile"/>
          <w:jc w:val="center"/>
        </w:pPr>
        <w:r>
          <w:fldChar w:fldCharType="begin"/>
        </w:r>
        <w:r>
          <w:instrText>PAGE    \* MERGEFORMAT</w:instrText>
        </w:r>
        <w:r>
          <w:fldChar w:fldCharType="separate"/>
        </w:r>
        <w:r w:rsidR="00AF322A">
          <w:rPr>
            <w:noProof/>
          </w:rPr>
          <w:t>10</w:t>
        </w:r>
        <w:r>
          <w:fldChar w:fldCharType="end"/>
        </w:r>
      </w:p>
    </w:sdtContent>
  </w:sdt>
  <w:p w:rsidR="00F40A47" w:rsidRDefault="00F40A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FDA" w:rsidRDefault="00A00FDA" w:rsidP="009A56DF">
      <w:r>
        <w:separator/>
      </w:r>
    </w:p>
  </w:footnote>
  <w:footnote w:type="continuationSeparator" w:id="0">
    <w:p w:rsidR="00A00FDA" w:rsidRDefault="00A00FDA" w:rsidP="009A5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DF" w:rsidRPr="009A56DF" w:rsidRDefault="00DE27FF" w:rsidP="009A56DF">
    <w:pPr>
      <w:tabs>
        <w:tab w:val="center" w:pos="4536"/>
        <w:tab w:val="left" w:pos="7764"/>
        <w:tab w:val="right" w:pos="9071"/>
      </w:tabs>
      <w:spacing w:line="360" w:lineRule="auto"/>
      <w:jc w:val="center"/>
      <w:rPr>
        <w:rFonts w:ascii="Arial" w:hAnsi="Arial" w:cs="Arial"/>
        <w:b/>
        <w:bCs/>
        <w:sz w:val="28"/>
        <w:szCs w:val="28"/>
        <w:lang w:eastAsia="de-DE"/>
      </w:rPr>
    </w:pPr>
    <w:r>
      <w:rPr>
        <w:rFonts w:ascii="Arial" w:hAnsi="Arial" w:cs="Arial"/>
        <w:b/>
        <w:bCs/>
        <w:sz w:val="28"/>
        <w:szCs w:val="28"/>
        <w:lang w:eastAsia="de-DE"/>
      </w:rPr>
      <w:t>VDAA- Arbeitsrechts</w:t>
    </w:r>
    <w:r w:rsidR="009A56DF" w:rsidRPr="009A56DF">
      <w:rPr>
        <w:rFonts w:ascii="Arial" w:hAnsi="Arial" w:cs="Arial"/>
        <w:b/>
        <w:bCs/>
        <w:sz w:val="28"/>
        <w:szCs w:val="28"/>
        <w:lang w:eastAsia="de-DE"/>
      </w:rPr>
      <w:t xml:space="preserve">depesche </w:t>
    </w:r>
    <w:r w:rsidR="002F35FD">
      <w:rPr>
        <w:rFonts w:ascii="Arial" w:hAnsi="Arial" w:cs="Arial"/>
        <w:b/>
        <w:bCs/>
        <w:sz w:val="28"/>
        <w:szCs w:val="28"/>
        <w:lang w:eastAsia="de-DE"/>
      </w:rPr>
      <w:t>10</w:t>
    </w:r>
    <w:r w:rsidR="007151A1">
      <w:rPr>
        <w:rFonts w:ascii="Arial" w:hAnsi="Arial" w:cs="Arial"/>
        <w:b/>
        <w:bCs/>
        <w:sz w:val="28"/>
        <w:szCs w:val="28"/>
        <w:lang w:eastAsia="de-DE"/>
      </w:rPr>
      <w:t>-</w:t>
    </w:r>
    <w:r w:rsidR="009A56DF" w:rsidRPr="009A56DF">
      <w:rPr>
        <w:rFonts w:ascii="Arial" w:hAnsi="Arial" w:cs="Arial"/>
        <w:b/>
        <w:bCs/>
        <w:sz w:val="28"/>
        <w:szCs w:val="28"/>
        <w:lang w:eastAsia="de-DE"/>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26C4"/>
    <w:multiLevelType w:val="hybridMultilevel"/>
    <w:tmpl w:val="BB2291D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1A6C54"/>
    <w:multiLevelType w:val="hybridMultilevel"/>
    <w:tmpl w:val="A42A6C88"/>
    <w:lvl w:ilvl="0" w:tplc="4D8454E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6F204C"/>
    <w:multiLevelType w:val="hybridMultilevel"/>
    <w:tmpl w:val="4DF054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4F58A9"/>
    <w:multiLevelType w:val="hybridMultilevel"/>
    <w:tmpl w:val="193084BE"/>
    <w:lvl w:ilvl="0" w:tplc="05D8B0D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1C1374"/>
    <w:multiLevelType w:val="hybridMultilevel"/>
    <w:tmpl w:val="998C009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435703"/>
    <w:multiLevelType w:val="multilevel"/>
    <w:tmpl w:val="A912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C5467F"/>
    <w:multiLevelType w:val="hybridMultilevel"/>
    <w:tmpl w:val="86BA013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454F74"/>
    <w:multiLevelType w:val="hybridMultilevel"/>
    <w:tmpl w:val="9E300982"/>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851673"/>
    <w:multiLevelType w:val="hybridMultilevel"/>
    <w:tmpl w:val="CAA6EA9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84566B"/>
    <w:multiLevelType w:val="hybridMultilevel"/>
    <w:tmpl w:val="F0B4A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4A3F48"/>
    <w:multiLevelType w:val="multilevel"/>
    <w:tmpl w:val="BC8A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7A20F9"/>
    <w:multiLevelType w:val="multilevel"/>
    <w:tmpl w:val="6E24C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71C33E6"/>
    <w:multiLevelType w:val="hybridMultilevel"/>
    <w:tmpl w:val="74AEC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15056C"/>
    <w:multiLevelType w:val="hybridMultilevel"/>
    <w:tmpl w:val="F1A29D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B7027E"/>
    <w:multiLevelType w:val="hybridMultilevel"/>
    <w:tmpl w:val="30E428B0"/>
    <w:lvl w:ilvl="0" w:tplc="6DDABB1A">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55E16835"/>
    <w:multiLevelType w:val="multilevel"/>
    <w:tmpl w:val="0F7EC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996003"/>
    <w:multiLevelType w:val="hybridMultilevel"/>
    <w:tmpl w:val="CA78FE02"/>
    <w:lvl w:ilvl="0" w:tplc="83329490">
      <w:start w:val="4"/>
      <w:numFmt w:val="bullet"/>
      <w:lvlText w:val="-"/>
      <w:lvlJc w:val="left"/>
      <w:pPr>
        <w:ind w:left="720" w:hanging="360"/>
      </w:pPr>
      <w:rPr>
        <w:rFonts w:ascii="Arial" w:eastAsia="Calibri" w:hAnsi="Arial" w:cs="Arial" w:hint="default"/>
      </w:rPr>
    </w:lvl>
    <w:lvl w:ilvl="1" w:tplc="53F2E536">
      <w:start w:val="1"/>
      <w:numFmt w:val="decimal"/>
      <w:lvlText w:val="%2."/>
      <w:lvlJc w:val="left"/>
      <w:pPr>
        <w:tabs>
          <w:tab w:val="num" w:pos="1440"/>
        </w:tabs>
        <w:ind w:left="1440" w:hanging="360"/>
      </w:pPr>
      <w:rPr>
        <w:rFonts w:ascii="Arial" w:eastAsia="Calibri" w:hAnsi="Arial" w:cs="Arial"/>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59073558"/>
    <w:multiLevelType w:val="multilevel"/>
    <w:tmpl w:val="5F70E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42E1791"/>
    <w:multiLevelType w:val="multilevel"/>
    <w:tmpl w:val="AC06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6A77D2"/>
    <w:multiLevelType w:val="multilevel"/>
    <w:tmpl w:val="0E843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FF508D"/>
    <w:multiLevelType w:val="multilevel"/>
    <w:tmpl w:val="FB208A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142C8A"/>
    <w:multiLevelType w:val="multilevel"/>
    <w:tmpl w:val="F170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1B34D8"/>
    <w:multiLevelType w:val="hybridMultilevel"/>
    <w:tmpl w:val="A78C5006"/>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054891"/>
    <w:multiLevelType w:val="hybridMultilevel"/>
    <w:tmpl w:val="F7AC3EB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F901875"/>
    <w:multiLevelType w:val="multilevel"/>
    <w:tmpl w:val="E1FE6D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num>
  <w:num w:numId="9">
    <w:abstractNumId w:val="16"/>
  </w:num>
  <w:num w:numId="10">
    <w:abstractNumId w:val="3"/>
  </w:num>
  <w:num w:numId="11">
    <w:abstractNumId w:val="8"/>
  </w:num>
  <w:num w:numId="12">
    <w:abstractNumId w:val="22"/>
  </w:num>
  <w:num w:numId="13">
    <w:abstractNumId w:val="23"/>
  </w:num>
  <w:num w:numId="14">
    <w:abstractNumId w:val="7"/>
  </w:num>
  <w:num w:numId="15">
    <w:abstractNumId w:val="4"/>
  </w:num>
  <w:num w:numId="16">
    <w:abstractNumId w:val="6"/>
  </w:num>
  <w:num w:numId="17">
    <w:abstractNumId w:val="0"/>
  </w:num>
  <w:num w:numId="18">
    <w:abstractNumId w:val="21"/>
  </w:num>
  <w:num w:numId="19">
    <w:abstractNumId w:val="5"/>
  </w:num>
  <w:num w:numId="20">
    <w:abstractNumId w:val="18"/>
  </w:num>
  <w:num w:numId="21">
    <w:abstractNumId w:val="10"/>
  </w:num>
  <w:num w:numId="22">
    <w:abstractNumId w:val="15"/>
  </w:num>
  <w:num w:numId="23">
    <w:abstractNumId w:val="20"/>
  </w:num>
  <w:num w:numId="24">
    <w:abstractNumId w:val="19"/>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DF"/>
    <w:rsid w:val="000A5F31"/>
    <w:rsid w:val="001A2B37"/>
    <w:rsid w:val="002201C4"/>
    <w:rsid w:val="00281C35"/>
    <w:rsid w:val="002F35FD"/>
    <w:rsid w:val="00352647"/>
    <w:rsid w:val="00387D57"/>
    <w:rsid w:val="003D4C05"/>
    <w:rsid w:val="00462790"/>
    <w:rsid w:val="004C74E4"/>
    <w:rsid w:val="006B07C3"/>
    <w:rsid w:val="006E52CE"/>
    <w:rsid w:val="007151A1"/>
    <w:rsid w:val="00765DBE"/>
    <w:rsid w:val="007B4929"/>
    <w:rsid w:val="007E4D43"/>
    <w:rsid w:val="00891FB9"/>
    <w:rsid w:val="008D41DE"/>
    <w:rsid w:val="008F7B68"/>
    <w:rsid w:val="00927C51"/>
    <w:rsid w:val="009A0119"/>
    <w:rsid w:val="009A56DF"/>
    <w:rsid w:val="009E07A0"/>
    <w:rsid w:val="00A00FDA"/>
    <w:rsid w:val="00AC6C35"/>
    <w:rsid w:val="00AF322A"/>
    <w:rsid w:val="00B816EE"/>
    <w:rsid w:val="00CC485E"/>
    <w:rsid w:val="00DE27FF"/>
    <w:rsid w:val="00E513FE"/>
    <w:rsid w:val="00ED7F24"/>
    <w:rsid w:val="00EE633C"/>
    <w:rsid w:val="00F40A47"/>
    <w:rsid w:val="00F60654"/>
    <w:rsid w:val="00FE1D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F726963-821F-4B86-BB5C-E32DE3EB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56D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56DF"/>
    <w:pPr>
      <w:tabs>
        <w:tab w:val="center" w:pos="4536"/>
        <w:tab w:val="right" w:pos="9072"/>
      </w:tabs>
    </w:pPr>
  </w:style>
  <w:style w:type="character" w:customStyle="1" w:styleId="KopfzeileZchn">
    <w:name w:val="Kopfzeile Zchn"/>
    <w:basedOn w:val="Absatz-Standardschriftart"/>
    <w:link w:val="Kopfzeile"/>
    <w:uiPriority w:val="99"/>
    <w:rsid w:val="009A56DF"/>
  </w:style>
  <w:style w:type="paragraph" w:styleId="Fuzeile">
    <w:name w:val="footer"/>
    <w:basedOn w:val="Standard"/>
    <w:link w:val="FuzeileZchn"/>
    <w:uiPriority w:val="99"/>
    <w:unhideWhenUsed/>
    <w:rsid w:val="009A56DF"/>
    <w:pPr>
      <w:tabs>
        <w:tab w:val="center" w:pos="4536"/>
        <w:tab w:val="right" w:pos="9072"/>
      </w:tabs>
    </w:pPr>
  </w:style>
  <w:style w:type="character" w:customStyle="1" w:styleId="FuzeileZchn">
    <w:name w:val="Fußzeile Zchn"/>
    <w:basedOn w:val="Absatz-Standardschriftart"/>
    <w:link w:val="Fuzeile"/>
    <w:uiPriority w:val="99"/>
    <w:rsid w:val="009A56DF"/>
  </w:style>
  <w:style w:type="character" w:styleId="Hyperlink">
    <w:name w:val="Hyperlink"/>
    <w:basedOn w:val="Absatz-Standardschriftart"/>
    <w:uiPriority w:val="99"/>
    <w:unhideWhenUsed/>
    <w:rsid w:val="009A56DF"/>
    <w:rPr>
      <w:color w:val="0563C1"/>
      <w:u w:val="single"/>
    </w:rPr>
  </w:style>
  <w:style w:type="paragraph" w:styleId="Listenabsatz">
    <w:name w:val="List Paragraph"/>
    <w:basedOn w:val="Standard"/>
    <w:uiPriority w:val="34"/>
    <w:qFormat/>
    <w:rsid w:val="00EE633C"/>
    <w:pPr>
      <w:ind w:left="720"/>
      <w:contextualSpacing/>
    </w:pPr>
  </w:style>
  <w:style w:type="character" w:customStyle="1" w:styleId="UnresolvedMention">
    <w:name w:val="Unresolved Mention"/>
    <w:basedOn w:val="Absatz-Standardschriftart"/>
    <w:uiPriority w:val="99"/>
    <w:semiHidden/>
    <w:unhideWhenUsed/>
    <w:rsid w:val="00281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534">
      <w:bodyDiv w:val="1"/>
      <w:marLeft w:val="0"/>
      <w:marRight w:val="0"/>
      <w:marTop w:val="0"/>
      <w:marBottom w:val="0"/>
      <w:divBdr>
        <w:top w:val="none" w:sz="0" w:space="0" w:color="auto"/>
        <w:left w:val="none" w:sz="0" w:space="0" w:color="auto"/>
        <w:bottom w:val="none" w:sz="0" w:space="0" w:color="auto"/>
        <w:right w:val="none" w:sz="0" w:space="0" w:color="auto"/>
      </w:divBdr>
    </w:div>
    <w:div w:id="298535447">
      <w:bodyDiv w:val="1"/>
      <w:marLeft w:val="0"/>
      <w:marRight w:val="0"/>
      <w:marTop w:val="0"/>
      <w:marBottom w:val="0"/>
      <w:divBdr>
        <w:top w:val="none" w:sz="0" w:space="0" w:color="auto"/>
        <w:left w:val="none" w:sz="0" w:space="0" w:color="auto"/>
        <w:bottom w:val="none" w:sz="0" w:space="0" w:color="auto"/>
        <w:right w:val="none" w:sz="0" w:space="0" w:color="auto"/>
      </w:divBdr>
    </w:div>
    <w:div w:id="384374318">
      <w:bodyDiv w:val="1"/>
      <w:marLeft w:val="0"/>
      <w:marRight w:val="0"/>
      <w:marTop w:val="0"/>
      <w:marBottom w:val="0"/>
      <w:divBdr>
        <w:top w:val="none" w:sz="0" w:space="0" w:color="auto"/>
        <w:left w:val="none" w:sz="0" w:space="0" w:color="auto"/>
        <w:bottom w:val="none" w:sz="0" w:space="0" w:color="auto"/>
        <w:right w:val="none" w:sz="0" w:space="0" w:color="auto"/>
      </w:divBdr>
    </w:div>
    <w:div w:id="457653121">
      <w:bodyDiv w:val="1"/>
      <w:marLeft w:val="0"/>
      <w:marRight w:val="0"/>
      <w:marTop w:val="0"/>
      <w:marBottom w:val="0"/>
      <w:divBdr>
        <w:top w:val="none" w:sz="0" w:space="0" w:color="auto"/>
        <w:left w:val="none" w:sz="0" w:space="0" w:color="auto"/>
        <w:bottom w:val="none" w:sz="0" w:space="0" w:color="auto"/>
        <w:right w:val="none" w:sz="0" w:space="0" w:color="auto"/>
      </w:divBdr>
    </w:div>
    <w:div w:id="485558431">
      <w:bodyDiv w:val="1"/>
      <w:marLeft w:val="0"/>
      <w:marRight w:val="0"/>
      <w:marTop w:val="0"/>
      <w:marBottom w:val="0"/>
      <w:divBdr>
        <w:top w:val="none" w:sz="0" w:space="0" w:color="auto"/>
        <w:left w:val="none" w:sz="0" w:space="0" w:color="auto"/>
        <w:bottom w:val="none" w:sz="0" w:space="0" w:color="auto"/>
        <w:right w:val="none" w:sz="0" w:space="0" w:color="auto"/>
      </w:divBdr>
    </w:div>
    <w:div w:id="567115679">
      <w:bodyDiv w:val="1"/>
      <w:marLeft w:val="0"/>
      <w:marRight w:val="0"/>
      <w:marTop w:val="0"/>
      <w:marBottom w:val="0"/>
      <w:divBdr>
        <w:top w:val="none" w:sz="0" w:space="0" w:color="auto"/>
        <w:left w:val="none" w:sz="0" w:space="0" w:color="auto"/>
        <w:bottom w:val="none" w:sz="0" w:space="0" w:color="auto"/>
        <w:right w:val="none" w:sz="0" w:space="0" w:color="auto"/>
      </w:divBdr>
    </w:div>
    <w:div w:id="633411447">
      <w:bodyDiv w:val="1"/>
      <w:marLeft w:val="0"/>
      <w:marRight w:val="0"/>
      <w:marTop w:val="0"/>
      <w:marBottom w:val="0"/>
      <w:divBdr>
        <w:top w:val="none" w:sz="0" w:space="0" w:color="auto"/>
        <w:left w:val="none" w:sz="0" w:space="0" w:color="auto"/>
        <w:bottom w:val="none" w:sz="0" w:space="0" w:color="auto"/>
        <w:right w:val="none" w:sz="0" w:space="0" w:color="auto"/>
      </w:divBdr>
    </w:div>
    <w:div w:id="1028332026">
      <w:bodyDiv w:val="1"/>
      <w:marLeft w:val="0"/>
      <w:marRight w:val="0"/>
      <w:marTop w:val="0"/>
      <w:marBottom w:val="0"/>
      <w:divBdr>
        <w:top w:val="none" w:sz="0" w:space="0" w:color="auto"/>
        <w:left w:val="none" w:sz="0" w:space="0" w:color="auto"/>
        <w:bottom w:val="none" w:sz="0" w:space="0" w:color="auto"/>
        <w:right w:val="none" w:sz="0" w:space="0" w:color="auto"/>
      </w:divBdr>
    </w:div>
    <w:div w:id="1031302722">
      <w:bodyDiv w:val="1"/>
      <w:marLeft w:val="0"/>
      <w:marRight w:val="0"/>
      <w:marTop w:val="0"/>
      <w:marBottom w:val="0"/>
      <w:divBdr>
        <w:top w:val="none" w:sz="0" w:space="0" w:color="auto"/>
        <w:left w:val="none" w:sz="0" w:space="0" w:color="auto"/>
        <w:bottom w:val="none" w:sz="0" w:space="0" w:color="auto"/>
        <w:right w:val="none" w:sz="0" w:space="0" w:color="auto"/>
      </w:divBdr>
    </w:div>
    <w:div w:id="1204637568">
      <w:bodyDiv w:val="1"/>
      <w:marLeft w:val="0"/>
      <w:marRight w:val="0"/>
      <w:marTop w:val="0"/>
      <w:marBottom w:val="0"/>
      <w:divBdr>
        <w:top w:val="none" w:sz="0" w:space="0" w:color="auto"/>
        <w:left w:val="none" w:sz="0" w:space="0" w:color="auto"/>
        <w:bottom w:val="none" w:sz="0" w:space="0" w:color="auto"/>
        <w:right w:val="none" w:sz="0" w:space="0" w:color="auto"/>
      </w:divBdr>
    </w:div>
    <w:div w:id="1231159481">
      <w:bodyDiv w:val="1"/>
      <w:marLeft w:val="0"/>
      <w:marRight w:val="0"/>
      <w:marTop w:val="0"/>
      <w:marBottom w:val="0"/>
      <w:divBdr>
        <w:top w:val="none" w:sz="0" w:space="0" w:color="auto"/>
        <w:left w:val="none" w:sz="0" w:space="0" w:color="auto"/>
        <w:bottom w:val="none" w:sz="0" w:space="0" w:color="auto"/>
        <w:right w:val="none" w:sz="0" w:space="0" w:color="auto"/>
      </w:divBdr>
    </w:div>
    <w:div w:id="1246308366">
      <w:bodyDiv w:val="1"/>
      <w:marLeft w:val="0"/>
      <w:marRight w:val="0"/>
      <w:marTop w:val="0"/>
      <w:marBottom w:val="0"/>
      <w:divBdr>
        <w:top w:val="none" w:sz="0" w:space="0" w:color="auto"/>
        <w:left w:val="none" w:sz="0" w:space="0" w:color="auto"/>
        <w:bottom w:val="none" w:sz="0" w:space="0" w:color="auto"/>
        <w:right w:val="none" w:sz="0" w:space="0" w:color="auto"/>
      </w:divBdr>
    </w:div>
    <w:div w:id="1278682831">
      <w:bodyDiv w:val="1"/>
      <w:marLeft w:val="0"/>
      <w:marRight w:val="0"/>
      <w:marTop w:val="0"/>
      <w:marBottom w:val="0"/>
      <w:divBdr>
        <w:top w:val="none" w:sz="0" w:space="0" w:color="auto"/>
        <w:left w:val="none" w:sz="0" w:space="0" w:color="auto"/>
        <w:bottom w:val="none" w:sz="0" w:space="0" w:color="auto"/>
        <w:right w:val="none" w:sz="0" w:space="0" w:color="auto"/>
      </w:divBdr>
    </w:div>
    <w:div w:id="1458452529">
      <w:bodyDiv w:val="1"/>
      <w:marLeft w:val="0"/>
      <w:marRight w:val="0"/>
      <w:marTop w:val="0"/>
      <w:marBottom w:val="0"/>
      <w:divBdr>
        <w:top w:val="none" w:sz="0" w:space="0" w:color="auto"/>
        <w:left w:val="none" w:sz="0" w:space="0" w:color="auto"/>
        <w:bottom w:val="none" w:sz="0" w:space="0" w:color="auto"/>
        <w:right w:val="none" w:sz="0" w:space="0" w:color="auto"/>
      </w:divBdr>
    </w:div>
    <w:div w:id="1463771996">
      <w:bodyDiv w:val="1"/>
      <w:marLeft w:val="0"/>
      <w:marRight w:val="0"/>
      <w:marTop w:val="0"/>
      <w:marBottom w:val="0"/>
      <w:divBdr>
        <w:top w:val="none" w:sz="0" w:space="0" w:color="auto"/>
        <w:left w:val="none" w:sz="0" w:space="0" w:color="auto"/>
        <w:bottom w:val="none" w:sz="0" w:space="0" w:color="auto"/>
        <w:right w:val="none" w:sz="0" w:space="0" w:color="auto"/>
      </w:divBdr>
    </w:div>
    <w:div w:id="1698308432">
      <w:bodyDiv w:val="1"/>
      <w:marLeft w:val="0"/>
      <w:marRight w:val="0"/>
      <w:marTop w:val="0"/>
      <w:marBottom w:val="0"/>
      <w:divBdr>
        <w:top w:val="none" w:sz="0" w:space="0" w:color="auto"/>
        <w:left w:val="none" w:sz="0" w:space="0" w:color="auto"/>
        <w:bottom w:val="none" w:sz="0" w:space="0" w:color="auto"/>
        <w:right w:val="none" w:sz="0" w:space="0" w:color="auto"/>
      </w:divBdr>
    </w:div>
    <w:div w:id="1723600033">
      <w:bodyDiv w:val="1"/>
      <w:marLeft w:val="0"/>
      <w:marRight w:val="0"/>
      <w:marTop w:val="0"/>
      <w:marBottom w:val="0"/>
      <w:divBdr>
        <w:top w:val="none" w:sz="0" w:space="0" w:color="auto"/>
        <w:left w:val="none" w:sz="0" w:space="0" w:color="auto"/>
        <w:bottom w:val="none" w:sz="0" w:space="0" w:color="auto"/>
        <w:right w:val="none" w:sz="0" w:space="0" w:color="auto"/>
      </w:divBdr>
    </w:div>
    <w:div w:id="1750691561">
      <w:bodyDiv w:val="1"/>
      <w:marLeft w:val="0"/>
      <w:marRight w:val="0"/>
      <w:marTop w:val="0"/>
      <w:marBottom w:val="0"/>
      <w:divBdr>
        <w:top w:val="none" w:sz="0" w:space="0" w:color="auto"/>
        <w:left w:val="none" w:sz="0" w:space="0" w:color="auto"/>
        <w:bottom w:val="none" w:sz="0" w:space="0" w:color="auto"/>
        <w:right w:val="none" w:sz="0" w:space="0" w:color="auto"/>
      </w:divBdr>
    </w:div>
    <w:div w:id="1803844013">
      <w:bodyDiv w:val="1"/>
      <w:marLeft w:val="0"/>
      <w:marRight w:val="0"/>
      <w:marTop w:val="0"/>
      <w:marBottom w:val="0"/>
      <w:divBdr>
        <w:top w:val="none" w:sz="0" w:space="0" w:color="auto"/>
        <w:left w:val="none" w:sz="0" w:space="0" w:color="auto"/>
        <w:bottom w:val="none" w:sz="0" w:space="0" w:color="auto"/>
        <w:right w:val="none" w:sz="0" w:space="0" w:color="auto"/>
      </w:divBdr>
    </w:div>
    <w:div w:id="1831436243">
      <w:bodyDiv w:val="1"/>
      <w:marLeft w:val="0"/>
      <w:marRight w:val="0"/>
      <w:marTop w:val="0"/>
      <w:marBottom w:val="0"/>
      <w:divBdr>
        <w:top w:val="none" w:sz="0" w:space="0" w:color="auto"/>
        <w:left w:val="none" w:sz="0" w:space="0" w:color="auto"/>
        <w:bottom w:val="none" w:sz="0" w:space="0" w:color="auto"/>
        <w:right w:val="none" w:sz="0" w:space="0" w:color="auto"/>
      </w:divBdr>
    </w:div>
    <w:div w:id="1897425309">
      <w:bodyDiv w:val="1"/>
      <w:marLeft w:val="0"/>
      <w:marRight w:val="0"/>
      <w:marTop w:val="0"/>
      <w:marBottom w:val="0"/>
      <w:divBdr>
        <w:top w:val="none" w:sz="0" w:space="0" w:color="auto"/>
        <w:left w:val="none" w:sz="0" w:space="0" w:color="auto"/>
        <w:bottom w:val="none" w:sz="0" w:space="0" w:color="auto"/>
        <w:right w:val="none" w:sz="0" w:space="0" w:color="auto"/>
      </w:divBdr>
    </w:div>
    <w:div w:id="1907179043">
      <w:bodyDiv w:val="1"/>
      <w:marLeft w:val="0"/>
      <w:marRight w:val="0"/>
      <w:marTop w:val="0"/>
      <w:marBottom w:val="0"/>
      <w:divBdr>
        <w:top w:val="none" w:sz="0" w:space="0" w:color="auto"/>
        <w:left w:val="none" w:sz="0" w:space="0" w:color="auto"/>
        <w:bottom w:val="none" w:sz="0" w:space="0" w:color="auto"/>
        <w:right w:val="none" w:sz="0" w:space="0" w:color="auto"/>
      </w:divBdr>
    </w:div>
    <w:div w:id="21186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arbeitsgericht.de/presse/betriebliche-invaliditaetsrente-und-beendigung-des-arbeitsverhaeltnisses/" TargetMode="External"/><Relationship Id="rId13" Type="http://schemas.openxmlformats.org/officeDocument/2006/relationships/hyperlink" Target="http://lrbw.juris.de/cgi-bin/laender_rechtsprechung/document.py?Gericht=bw&amp;GerichtAuswahl=Arbeitsgerichte&amp;Art=en&amp;Datum=2023&amp;Seite=0&amp;nr=39120&amp;pos=1&amp;anz=34" TargetMode="External"/><Relationship Id="rId18" Type="http://schemas.openxmlformats.org/officeDocument/2006/relationships/hyperlink" Target="https://www.justiz.nrw/nrwe/arbgs/hamm/lag_hamm/j2023/15_Sa_1033_22_Urteil_20230824.html" TargetMode="External"/><Relationship Id="rId26" Type="http://schemas.openxmlformats.org/officeDocument/2006/relationships/hyperlink" Target="https://deref-gmx.net/mail/client/rmhO_rbU1wM/dereferrer/?redirectUrl=https%3A%2F%2Fwww.sit.de%2Flagsh%2Fehome.nsf%2F8737E48430A2A164C1258A440046030E%2F%24file%2FUrteil-1-Sa-107-22-28-06-2023.pdf" TargetMode="External"/><Relationship Id="rId3" Type="http://schemas.openxmlformats.org/officeDocument/2006/relationships/settings" Target="settings.xml"/><Relationship Id="rId21" Type="http://schemas.openxmlformats.org/officeDocument/2006/relationships/hyperlink" Target="https://deref-gmx.net/mail/client/U3hkJqYGuz0/dereferrer/?redirectUrl=https%3A%2F%2Fwww.sit.de%2Flagsh%2Fehome.nsf%2F5964EC8B1F1177D3C1258A4B00274946%2F%24file%2FUrteil-6-Sa-106-22-28-06-2023.pdf"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lrbw.juris.de/cgi-bin/laender_rechtsprechung/document.py?Gericht=bw&amp;GerichtAuswahl=Arbeitsgerichte&amp;Art=en&amp;Datum=2023&amp;Seite=0&amp;nr=39123&amp;pos=0&amp;anz=34" TargetMode="External"/><Relationship Id="rId17" Type="http://schemas.openxmlformats.org/officeDocument/2006/relationships/hyperlink" Target="https://www.justiz.nrw/nrwe/arbgs/duesseldorf/lag_duesseldorf/j2023/NRWE_LAG_D_sseldorf_3_Ta_240_23_Beschluss_20231005.html" TargetMode="External"/><Relationship Id="rId25" Type="http://schemas.openxmlformats.org/officeDocument/2006/relationships/hyperlink" Target="https://deref-gmx.net/mail/client/DwMAx2tAan8/dereferrer/?redirectUrl=https%3A%2F%2Fwww.sit.de%2Flagsh%2Fehome.nsf%2F852F862545BE2D56C1258A440046030D%2F%24file%2FUrteil-1-Sa-84-22-28-06-2023.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justiz.nrw/nrwe/arbgs/koeln/lag_koeln/j2023/4_Sa_12_23_Urteil_20230912.html" TargetMode="External"/><Relationship Id="rId20" Type="http://schemas.openxmlformats.org/officeDocument/2006/relationships/hyperlink" Target="https://voris.wolterskluwer-online.de/browse/document/4b442452-769d-425f-90bb-d4e374cf95ae" TargetMode="External"/><Relationship Id="rId29" Type="http://schemas.openxmlformats.org/officeDocument/2006/relationships/hyperlink" Target="https://deref-gmx.net/mail/client/M9QWKkXaHEs/dereferrer/?redirectUrl=https%3A%2F%2Fwww.sit.de%2Flagsh%2Fehome.nsf%2F9E83D61618D5C515C1258A37005A64D3%2F%24file%2FUrteil-1-Sa-101-22-28-06-202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rbw.juris.de/cgi-bin/laender_rechtsprechung/document.py?Gericht=bw&amp;GerichtAuswahl=Arbeitsgerichte&amp;Art=en&amp;Datum=2023&amp;Seite=2&amp;nr=39122&amp;pos=20&amp;anz=34" TargetMode="External"/><Relationship Id="rId24" Type="http://schemas.openxmlformats.org/officeDocument/2006/relationships/hyperlink" Target="https://deref-gmx.net/mail/client/0HxsMPdUbpc/dereferrer/?redirectUrl=https%3A%2F%2Fwww.sit.de%2Flagsh%2Fehome.nsf%2F199D7B524A5CB364C1258A460043871F%2F%24file%2FUrteil-6-Sa-202-22-10-05-23.pdf" TargetMode="External"/><Relationship Id="rId32" Type="http://schemas.openxmlformats.org/officeDocument/2006/relationships/hyperlink" Target="http://www.vdaa.de" TargetMode="External"/><Relationship Id="rId5" Type="http://schemas.openxmlformats.org/officeDocument/2006/relationships/footnotes" Target="footnotes.xml"/><Relationship Id="rId15" Type="http://schemas.openxmlformats.org/officeDocument/2006/relationships/hyperlink" Target="https://www.justiz.nrw/nrwe/arbgs/koeln/lag_koeln/j2023/6_Sa_682_22_Urteil_20230810.html" TargetMode="External"/><Relationship Id="rId23" Type="http://schemas.openxmlformats.org/officeDocument/2006/relationships/hyperlink" Target="https://deref-gmx.net/mail/client/hz5ZJABb1mc/dereferrer/?redirectUrl=https%3A%2F%2Fwww.sit.de%2Flagsh%2Fehome.nsf%2FC98964BF25CC2203C1258A4B00299710%2F%24file%2FUrteil-4-Sa-123%2520%C3%B6D-22-14-06-2023.pdf" TargetMode="External"/><Relationship Id="rId28" Type="http://schemas.openxmlformats.org/officeDocument/2006/relationships/hyperlink" Target="https://deref-gmx.net/mail/client/xKnXvORT6ME/dereferrer/?redirectUrl=https%3A%2F%2Fwww.sit.de%2Flagsh%2Fehome.nsf%2F7F07D32DDE9A9601C1258A37005A5D59%2F%24file%2FUrteil-5-Sa-200-22-15-06-2023.pdf" TargetMode="External"/><Relationship Id="rId36" Type="http://schemas.openxmlformats.org/officeDocument/2006/relationships/theme" Target="theme/theme1.xml"/><Relationship Id="rId10" Type="http://schemas.openxmlformats.org/officeDocument/2006/relationships/hyperlink" Target="https://curia.europa.eu/jcms/upload/docs/application/pdf/2023-10/cp230158de.pdf" TargetMode="External"/><Relationship Id="rId19" Type="http://schemas.openxmlformats.org/officeDocument/2006/relationships/hyperlink" Target="https://www.justiz.nrw/nrwe/arbgs/hamm/lag_hamm/j2023/9_Sa_538_22_Urteil_20230823.html" TargetMode="External"/><Relationship Id="rId31" Type="http://schemas.openxmlformats.org/officeDocument/2006/relationships/hyperlink" Target="mailto:info@vdaa.de" TargetMode="External"/><Relationship Id="rId4" Type="http://schemas.openxmlformats.org/officeDocument/2006/relationships/webSettings" Target="webSettings.xml"/><Relationship Id="rId9" Type="http://schemas.openxmlformats.org/officeDocument/2006/relationships/hyperlink" Target="https://www.bundesarbeitsgericht.de/presse/arbeit-auf-abruf-dauer-der-woechentlichen-arbeitszeit/" TargetMode="External"/><Relationship Id="rId14" Type="http://schemas.openxmlformats.org/officeDocument/2006/relationships/hyperlink" Target="https://www.justiz.nrw/nrwe/arbgs/koeln/lag_koeln/j2023/4_Sa_382_23_Urteil_20230915.html" TargetMode="External"/><Relationship Id="rId22" Type="http://schemas.openxmlformats.org/officeDocument/2006/relationships/hyperlink" Target="https://deref-gmx.net/mail/client/yIGieQISI4U/dereferrer/?redirectUrl=https%3A%2F%2Fwww.sit.de%2Flagsh%2Fehome.nsf%2F87718354EDD159B0C1258A4B00274947%2F%24file%2FUrteil-4-Sa-39%2520%C3%B6D-23-06-07-2023.pdf" TargetMode="External"/><Relationship Id="rId27" Type="http://schemas.openxmlformats.org/officeDocument/2006/relationships/hyperlink" Target="https://deref-gmx.net/mail/client/l-BPYi397Wk/dereferrer/?redirectUrl=https%3A%2F%2Fwww.sit.de%2Flagsh%2Fehome.nsf%2F11244CAAC1924A50C1258A440046030F%2F%24file%2FUrteil-1-Sa-115-22-28-06-2023.pdf" TargetMode="External"/><Relationship Id="rId30" Type="http://schemas.openxmlformats.org/officeDocument/2006/relationships/hyperlink" Target="https://juris.bundesgerichtshof.de/cgi-bin/rechtsprechung/document.py?Gericht=bgh&amp;Art=en&amp;Datum=Aktuell&amp;Sort=12288&amp;Seite=7&amp;nr=134703&amp;pos=211&amp;anz=1102"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4082</Words>
  <Characters>26821</Characters>
  <Application>Microsoft Office Word</Application>
  <DocSecurity>0</DocSecurity>
  <Lines>515</Lines>
  <Paragraphs>160</Paragraphs>
  <ScaleCrop>false</ScaleCrop>
  <HeadingPairs>
    <vt:vector size="2" baseType="variant">
      <vt:variant>
        <vt:lpstr>Titel</vt:lpstr>
      </vt:variant>
      <vt:variant>
        <vt:i4>1</vt:i4>
      </vt:variant>
    </vt:vector>
  </HeadingPairs>
  <TitlesOfParts>
    <vt:vector size="1" baseType="lpstr">
      <vt:lpstr>Urteile</vt:lpstr>
    </vt:vector>
  </TitlesOfParts>
  <Company>Dr. Gaupp &amp; Coll.</Company>
  <LinksUpToDate>false</LinksUpToDate>
  <CharactersWithSpaces>30743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Urteile</dc:subject>
  <dc:creator>VDAA</dc:creator>
  <cp:keywords>Unternehmensdepesche</cp:keywords>
  <dc:description/>
  <cp:lastModifiedBy>Michael Henn</cp:lastModifiedBy>
  <cp:revision>2</cp:revision>
  <dcterms:created xsi:type="dcterms:W3CDTF">2023-11-05T15:35:00Z</dcterms:created>
  <dcterms:modified xsi:type="dcterms:W3CDTF">2023-11-05T15:35:00Z</dcterms:modified>
</cp:coreProperties>
</file>