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DF" w:rsidRPr="00927C51" w:rsidRDefault="009A56DF" w:rsidP="009A56DF">
      <w:pPr>
        <w:jc w:val="right"/>
        <w:rPr>
          <w:rFonts w:ascii="Arial" w:hAnsi="Arial" w:cs="Arial"/>
        </w:rPr>
      </w:pPr>
      <w:bookmarkStart w:id="0" w:name="_Hlk22231110"/>
      <w:r w:rsidRPr="00927C51">
        <w:rPr>
          <w:rFonts w:ascii="Arial" w:eastAsia="Times New Roman" w:hAnsi="Arial" w:cs="Arial"/>
          <w:noProof/>
          <w:sz w:val="24"/>
          <w:szCs w:val="24"/>
          <w:lang w:eastAsia="de-DE"/>
        </w:rPr>
        <w:drawing>
          <wp:inline distT="0" distB="0" distL="0" distR="0" wp14:anchorId="3FFA990E" wp14:editId="0BCE90FF">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rsidR="009A56DF" w:rsidRDefault="009A56DF" w:rsidP="00AC6C35">
      <w:pPr>
        <w:tabs>
          <w:tab w:val="center" w:pos="4536"/>
          <w:tab w:val="right" w:pos="9072"/>
        </w:tabs>
        <w:jc w:val="center"/>
        <w:rPr>
          <w:rFonts w:ascii="Arial" w:hAnsi="Arial" w:cs="Arial"/>
          <w:b/>
          <w:bCs/>
          <w:sz w:val="20"/>
          <w:szCs w:val="20"/>
        </w:rPr>
      </w:pPr>
      <w:r w:rsidRPr="007E4D43">
        <w:rPr>
          <w:rFonts w:ascii="Arial" w:hAnsi="Arial" w:cs="Arial"/>
          <w:b/>
          <w:bCs/>
          <w:sz w:val="20"/>
          <w:szCs w:val="20"/>
        </w:rPr>
        <w:t xml:space="preserve">Urteile, die </w:t>
      </w:r>
      <w:r w:rsidR="00891FB9">
        <w:rPr>
          <w:rFonts w:ascii="Arial" w:hAnsi="Arial" w:cs="Arial"/>
          <w:b/>
          <w:bCs/>
          <w:sz w:val="20"/>
          <w:szCs w:val="20"/>
        </w:rPr>
        <w:t xml:space="preserve">Ihre Leser </w:t>
      </w:r>
      <w:r w:rsidRPr="007E4D43">
        <w:rPr>
          <w:rFonts w:ascii="Arial" w:hAnsi="Arial" w:cs="Arial"/>
          <w:b/>
          <w:bCs/>
          <w:sz w:val="20"/>
          <w:szCs w:val="20"/>
        </w:rPr>
        <w:t>interessieren könnten</w:t>
      </w:r>
    </w:p>
    <w:p w:rsidR="00AC6C35" w:rsidRPr="007E4D43" w:rsidRDefault="00AC6C35" w:rsidP="00AC6C35">
      <w:pPr>
        <w:tabs>
          <w:tab w:val="center" w:pos="4536"/>
          <w:tab w:val="right" w:pos="9072"/>
        </w:tabs>
        <w:jc w:val="center"/>
        <w:rPr>
          <w:rFonts w:ascii="Arial" w:hAnsi="Arial" w:cs="Arial"/>
          <w:b/>
          <w:bCs/>
          <w:sz w:val="20"/>
          <w:szCs w:val="20"/>
        </w:rPr>
      </w:pPr>
    </w:p>
    <w:p w:rsidR="009A56DF" w:rsidRPr="007E4D43" w:rsidRDefault="009A56DF" w:rsidP="007E4D43">
      <w:pPr>
        <w:tabs>
          <w:tab w:val="center" w:pos="4536"/>
          <w:tab w:val="right" w:pos="9072"/>
        </w:tabs>
        <w:jc w:val="both"/>
        <w:rPr>
          <w:rFonts w:ascii="Arial" w:eastAsia="ヒラギノ角ゴ Pro W3" w:hAnsi="Arial" w:cs="Arial"/>
          <w:b/>
          <w:bCs/>
          <w:sz w:val="20"/>
          <w:szCs w:val="20"/>
        </w:rPr>
      </w:pPr>
    </w:p>
    <w:p w:rsidR="009A56DF" w:rsidRPr="007E4D43" w:rsidRDefault="009A56DF" w:rsidP="007E4D43">
      <w:pPr>
        <w:jc w:val="both"/>
        <w:rPr>
          <w:rFonts w:ascii="Arial" w:hAnsi="Arial" w:cs="Arial"/>
          <w:sz w:val="20"/>
          <w:szCs w:val="20"/>
        </w:rPr>
      </w:pPr>
      <w:r w:rsidRPr="007E4D43">
        <w:rPr>
          <w:rFonts w:ascii="Arial" w:hAnsi="Arial" w:cs="Arial"/>
          <w:sz w:val="20"/>
          <w:szCs w:val="20"/>
        </w:rPr>
        <w:t>zusammengestellt von Rechtsanwalt/Fachanwalt für Arbeitsrecht u. Fachanwalt für Erbrecht</w:t>
      </w:r>
    </w:p>
    <w:p w:rsidR="009A56DF" w:rsidRDefault="009A56DF" w:rsidP="00AC6C35">
      <w:pPr>
        <w:jc w:val="center"/>
        <w:rPr>
          <w:rFonts w:ascii="Arial" w:hAnsi="Arial" w:cs="Arial"/>
          <w:sz w:val="20"/>
          <w:szCs w:val="20"/>
        </w:rPr>
      </w:pPr>
      <w:r w:rsidRPr="007E4D43">
        <w:rPr>
          <w:rFonts w:ascii="Arial" w:hAnsi="Arial" w:cs="Arial"/>
          <w:sz w:val="20"/>
          <w:szCs w:val="20"/>
        </w:rPr>
        <w:t>Michael Henn, Stuttgart</w:t>
      </w:r>
    </w:p>
    <w:p w:rsidR="00AC6C35" w:rsidRDefault="00AC6C35" w:rsidP="00AC6C35">
      <w:pPr>
        <w:jc w:val="center"/>
        <w:rPr>
          <w:rFonts w:ascii="Arial" w:hAnsi="Arial" w:cs="Arial"/>
          <w:sz w:val="20"/>
          <w:szCs w:val="20"/>
        </w:rPr>
      </w:pPr>
    </w:p>
    <w:p w:rsidR="000C4D69" w:rsidRDefault="000C4D69" w:rsidP="000C4D69">
      <w:pPr>
        <w:spacing w:line="360" w:lineRule="auto"/>
        <w:jc w:val="center"/>
        <w:rPr>
          <w:rFonts w:ascii="Arial" w:hAnsi="Arial" w:cs="Arial"/>
          <w:sz w:val="20"/>
          <w:szCs w:val="20"/>
        </w:rPr>
      </w:pPr>
    </w:p>
    <w:p w:rsidR="000C4D69" w:rsidRPr="00ED495E" w:rsidRDefault="000C4D69" w:rsidP="000C4D69">
      <w:pPr>
        <w:keepNext/>
        <w:spacing w:line="360" w:lineRule="auto"/>
        <w:jc w:val="center"/>
        <w:rPr>
          <w:rFonts w:ascii="Arial" w:hAnsi="Arial" w:cs="Arial"/>
          <w:b/>
          <w:sz w:val="20"/>
          <w:szCs w:val="20"/>
        </w:rPr>
      </w:pPr>
      <w:r w:rsidRPr="00ED495E">
        <w:rPr>
          <w:rFonts w:ascii="Arial" w:hAnsi="Arial" w:cs="Arial"/>
          <w:b/>
          <w:sz w:val="20"/>
          <w:szCs w:val="20"/>
        </w:rPr>
        <w:t>I.</w:t>
      </w:r>
    </w:p>
    <w:p w:rsidR="000C4D69" w:rsidRPr="003A2E01" w:rsidRDefault="000C4D69" w:rsidP="000C4D69">
      <w:pPr>
        <w:spacing w:line="360" w:lineRule="auto"/>
        <w:jc w:val="center"/>
        <w:rPr>
          <w:rFonts w:ascii="Arial" w:hAnsi="Arial" w:cs="Arial"/>
          <w:b/>
          <w:bCs/>
          <w:sz w:val="20"/>
          <w:szCs w:val="20"/>
        </w:rPr>
      </w:pPr>
      <w:r w:rsidRPr="003A2E01">
        <w:rPr>
          <w:rFonts w:ascii="Arial" w:hAnsi="Arial" w:cs="Arial"/>
          <w:b/>
          <w:bCs/>
          <w:sz w:val="20"/>
          <w:szCs w:val="20"/>
        </w:rPr>
        <w:t>Landesarbeitsgericht Mecklenburg-Vorpommern</w:t>
      </w:r>
    </w:p>
    <w:p w:rsidR="000C4D69" w:rsidRPr="00F43103" w:rsidRDefault="000C4D69" w:rsidP="000C4D69">
      <w:pPr>
        <w:spacing w:line="360" w:lineRule="auto"/>
        <w:jc w:val="center"/>
        <w:rPr>
          <w:rFonts w:ascii="Arial" w:hAnsi="Arial" w:cs="Arial"/>
          <w:bCs/>
          <w:sz w:val="20"/>
          <w:szCs w:val="20"/>
        </w:rPr>
      </w:pPr>
      <w:r w:rsidRPr="00F43103">
        <w:rPr>
          <w:rFonts w:ascii="Arial" w:hAnsi="Arial" w:cs="Arial"/>
          <w:bCs/>
          <w:sz w:val="20"/>
          <w:szCs w:val="20"/>
        </w:rPr>
        <w:t>Urteil vom 28. September 2023 – 5 Sa 15/23</w:t>
      </w:r>
    </w:p>
    <w:p w:rsidR="000C4D69" w:rsidRPr="003A2E01" w:rsidRDefault="000C4D69" w:rsidP="000C4D69">
      <w:pPr>
        <w:spacing w:line="360" w:lineRule="auto"/>
        <w:jc w:val="both"/>
        <w:rPr>
          <w:rFonts w:ascii="Arial" w:hAnsi="Arial" w:cs="Arial"/>
          <w:b/>
          <w:bCs/>
          <w:sz w:val="20"/>
          <w:szCs w:val="20"/>
          <w:u w:val="single"/>
        </w:rPr>
      </w:pPr>
      <w:r w:rsidRPr="003A2E01">
        <w:rPr>
          <w:rFonts w:ascii="Arial" w:hAnsi="Arial" w:cs="Arial"/>
          <w:b/>
          <w:bCs/>
          <w:sz w:val="20"/>
          <w:szCs w:val="20"/>
        </w:rPr>
        <w:t>Gehaltsrückforderung wegen nicht erbrachter Arbeitsleistung (im Homeoffice – die Red.) Darlegungs- und Beweislast</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Leitsatz:</w:t>
      </w:r>
    </w:p>
    <w:p w:rsidR="000C4D69" w:rsidRPr="000011C6" w:rsidRDefault="000C4D69" w:rsidP="000C4D69">
      <w:pPr>
        <w:pStyle w:val="Listenabsatz"/>
        <w:numPr>
          <w:ilvl w:val="0"/>
          <w:numId w:val="30"/>
        </w:numPr>
        <w:spacing w:line="360" w:lineRule="auto"/>
        <w:ind w:left="567" w:hanging="567"/>
        <w:jc w:val="both"/>
        <w:rPr>
          <w:rFonts w:ascii="Arial" w:hAnsi="Arial" w:cs="Arial"/>
          <w:sz w:val="20"/>
          <w:szCs w:val="20"/>
        </w:rPr>
      </w:pPr>
      <w:r w:rsidRPr="000011C6">
        <w:rPr>
          <w:rFonts w:ascii="Arial" w:hAnsi="Arial" w:cs="Arial"/>
          <w:sz w:val="20"/>
          <w:szCs w:val="20"/>
        </w:rPr>
        <w:t>Der Vergütungsanspruch des Arbeitnehmers entfällt ganz oder teilweise, wenn der Arbeitnehmer seiner Verpflichtung zur Arbeitsleistung nicht oder nicht in vollem Umfang nachkommt, es sei denn, die Vergütung ist aus anderen Rechtsgründen fortzuzahlen, z. B. Entgeltfortzahlung im Krankheitsfall.</w:t>
      </w:r>
      <w:hyperlink r:id="rId8" w:tgtFrame="_blank" w:history="1">
        <w:r w:rsidRPr="000011C6">
          <w:rPr>
            <w:rStyle w:val="Hyperlink"/>
            <w:rFonts w:ascii="Arial" w:hAnsi="Arial" w:cs="Arial"/>
            <w:sz w:val="20"/>
            <w:szCs w:val="20"/>
          </w:rPr>
          <w:t xml:space="preserve">(Rn.33) </w:t>
        </w:r>
      </w:hyperlink>
    </w:p>
    <w:p w:rsidR="000C4D69" w:rsidRPr="000011C6" w:rsidRDefault="000C4D69" w:rsidP="000C4D69">
      <w:pPr>
        <w:pStyle w:val="Listenabsatz"/>
        <w:numPr>
          <w:ilvl w:val="0"/>
          <w:numId w:val="30"/>
        </w:numPr>
        <w:spacing w:line="360" w:lineRule="auto"/>
        <w:ind w:left="567" w:hanging="567"/>
        <w:jc w:val="both"/>
        <w:rPr>
          <w:rFonts w:ascii="Arial" w:hAnsi="Arial" w:cs="Arial"/>
          <w:sz w:val="20"/>
          <w:szCs w:val="20"/>
        </w:rPr>
      </w:pPr>
      <w:r w:rsidRPr="000011C6">
        <w:rPr>
          <w:rFonts w:ascii="Arial" w:hAnsi="Arial" w:cs="Arial"/>
          <w:sz w:val="20"/>
          <w:szCs w:val="20"/>
        </w:rPr>
        <w:t>Grundsätzlich trägt der Arbeitgeber die Darlegungs- und Beweislast, dass und in welchem Umfang der Arbeitnehmer seine Arbeitspflicht nicht erfüllt hat. Auf den entsprechenden Prozessvortrag des Arbeitgebers hat der Arbeitnehmer sodann substantiiert zu erwidern. Das gilt auch bei Arbeitsleistungen im Home-Office.</w:t>
      </w:r>
      <w:bookmarkStart w:id="1" w:name="m_-5073402202742155720_m_247917841446988"/>
      <w:bookmarkEnd w:id="1"/>
      <w:r w:rsidRPr="000011C6">
        <w:rPr>
          <w:rFonts w:ascii="Arial" w:hAnsi="Arial" w:cs="Arial"/>
          <w:sz w:val="20"/>
          <w:szCs w:val="20"/>
        </w:rPr>
        <w:fldChar w:fldCharType="begin"/>
      </w:r>
      <w:r w:rsidRPr="000011C6">
        <w:rPr>
          <w:rFonts w:ascii="Arial" w:hAnsi="Arial" w:cs="Arial"/>
          <w:sz w:val="20"/>
          <w:szCs w:val="20"/>
        </w:rPr>
        <w:instrText xml:space="preserve"> HYPERLINK "https://www.landesrecht-mv.de/bsmv/document/JURE230056488/format/xsl/part/L/anchor/rd_34?oi=KW9H6nPK2W&amp;sourceP=%7B%22source%22%3A%22SameDoc%22%7D" \t "_blank" </w:instrText>
      </w:r>
      <w:r w:rsidRPr="000011C6">
        <w:rPr>
          <w:rFonts w:ascii="Arial" w:hAnsi="Arial" w:cs="Arial"/>
          <w:sz w:val="20"/>
          <w:szCs w:val="20"/>
        </w:rPr>
        <w:fldChar w:fldCharType="separate"/>
      </w:r>
      <w:r w:rsidRPr="000011C6">
        <w:rPr>
          <w:rStyle w:val="Hyperlink"/>
          <w:rFonts w:ascii="Arial" w:hAnsi="Arial" w:cs="Arial"/>
          <w:sz w:val="20"/>
          <w:szCs w:val="20"/>
        </w:rPr>
        <w:t xml:space="preserve">(Rn.34) </w:t>
      </w:r>
      <w:r w:rsidRPr="000011C6">
        <w:rPr>
          <w:rFonts w:ascii="Arial" w:hAnsi="Arial" w:cs="Arial"/>
          <w:sz w:val="20"/>
          <w:szCs w:val="20"/>
        </w:rPr>
        <w:fldChar w:fldCharType="end"/>
      </w:r>
    </w:p>
    <w:p w:rsidR="000C4D69" w:rsidRPr="00F43103" w:rsidRDefault="000C4D69" w:rsidP="000C4D69">
      <w:pPr>
        <w:spacing w:line="360" w:lineRule="auto"/>
        <w:jc w:val="both"/>
        <w:rPr>
          <w:rFonts w:ascii="Arial" w:hAnsi="Arial" w:cs="Arial"/>
          <w:sz w:val="20"/>
          <w:szCs w:val="20"/>
        </w:rPr>
      </w:pPr>
      <w:r w:rsidRPr="00F43103">
        <w:rPr>
          <w:rFonts w:ascii="Arial" w:hAnsi="Arial" w:cs="Arial"/>
          <w:bCs/>
          <w:sz w:val="20"/>
          <w:szCs w:val="20"/>
          <w:u w:val="single"/>
        </w:rPr>
        <w:t>Siehe:</w:t>
      </w:r>
    </w:p>
    <w:p w:rsidR="000C4D69" w:rsidRDefault="000C4D69" w:rsidP="000C4D69">
      <w:pPr>
        <w:spacing w:line="360" w:lineRule="auto"/>
        <w:jc w:val="both"/>
        <w:rPr>
          <w:rStyle w:val="Hyperlink"/>
          <w:rFonts w:ascii="Arial" w:hAnsi="Arial" w:cs="Arial"/>
          <w:sz w:val="20"/>
          <w:szCs w:val="20"/>
        </w:rPr>
      </w:pPr>
      <w:hyperlink r:id="rId9" w:tgtFrame="_blank" w:history="1">
        <w:r w:rsidRPr="003A2E01">
          <w:rPr>
            <w:rStyle w:val="Hyperlink"/>
            <w:rFonts w:ascii="Arial" w:hAnsi="Arial" w:cs="Arial"/>
            <w:sz w:val="20"/>
            <w:szCs w:val="20"/>
          </w:rPr>
          <w:t>https://www.landesrecht-mv.de/bsmv/document/JURE230056488/part/L</w:t>
        </w:r>
      </w:hyperlink>
    </w:p>
    <w:p w:rsidR="000C4D69" w:rsidRPr="003A2E01" w:rsidRDefault="000C4D69" w:rsidP="000C4D69">
      <w:pPr>
        <w:spacing w:line="360" w:lineRule="auto"/>
        <w:jc w:val="both"/>
        <w:rPr>
          <w:rFonts w:ascii="Arial" w:hAnsi="Arial" w:cs="Arial"/>
          <w:sz w:val="20"/>
          <w:szCs w:val="20"/>
        </w:rPr>
      </w:pPr>
    </w:p>
    <w:p w:rsidR="000C4D69" w:rsidRPr="003A2E01" w:rsidRDefault="000C4D69" w:rsidP="000C4D69">
      <w:pPr>
        <w:keepNext/>
        <w:spacing w:line="360" w:lineRule="auto"/>
        <w:ind w:left="3912" w:firstLine="336"/>
        <w:jc w:val="both"/>
        <w:rPr>
          <w:rFonts w:ascii="Arial" w:hAnsi="Arial" w:cs="Arial"/>
          <w:b/>
          <w:sz w:val="20"/>
          <w:szCs w:val="20"/>
        </w:rPr>
      </w:pPr>
      <w:r w:rsidRPr="003A2E01">
        <w:rPr>
          <w:rFonts w:ascii="Arial" w:hAnsi="Arial" w:cs="Arial"/>
          <w:b/>
          <w:sz w:val="20"/>
          <w:szCs w:val="20"/>
        </w:rPr>
        <w:t>II.</w:t>
      </w:r>
    </w:p>
    <w:p w:rsidR="000C4D69" w:rsidRPr="003A2E01" w:rsidRDefault="000C4D69" w:rsidP="000C4D69">
      <w:pPr>
        <w:keepNext/>
        <w:spacing w:line="360" w:lineRule="auto"/>
        <w:jc w:val="center"/>
        <w:rPr>
          <w:rFonts w:ascii="Arial" w:hAnsi="Arial" w:cs="Arial"/>
          <w:b/>
          <w:bCs/>
          <w:sz w:val="20"/>
          <w:szCs w:val="20"/>
        </w:rPr>
      </w:pPr>
      <w:r w:rsidRPr="003A2E01">
        <w:rPr>
          <w:rFonts w:ascii="Arial" w:hAnsi="Arial" w:cs="Arial"/>
          <w:sz w:val="20"/>
          <w:szCs w:val="20"/>
        </w:rPr>
        <w:t>La</w:t>
      </w:r>
      <w:r w:rsidRPr="003A2E01">
        <w:rPr>
          <w:rFonts w:ascii="Arial" w:hAnsi="Arial" w:cs="Arial"/>
          <w:b/>
          <w:bCs/>
          <w:sz w:val="20"/>
          <w:szCs w:val="20"/>
        </w:rPr>
        <w:t>ndesarbeitsgericht Baden-Württemberg</w:t>
      </w:r>
    </w:p>
    <w:p w:rsidR="000C4D69" w:rsidRPr="003A2E01" w:rsidRDefault="000C4D69" w:rsidP="000C4D69">
      <w:pPr>
        <w:spacing w:line="360" w:lineRule="auto"/>
        <w:jc w:val="center"/>
        <w:rPr>
          <w:rFonts w:ascii="Arial" w:hAnsi="Arial" w:cs="Arial"/>
          <w:sz w:val="20"/>
          <w:szCs w:val="20"/>
        </w:rPr>
      </w:pPr>
      <w:r w:rsidRPr="003A2E01">
        <w:rPr>
          <w:rFonts w:ascii="Arial" w:hAnsi="Arial" w:cs="Arial"/>
          <w:bCs/>
          <w:sz w:val="20"/>
          <w:szCs w:val="20"/>
        </w:rPr>
        <w:t xml:space="preserve">Beschluss vom 12.9.2023, 5 </w:t>
      </w:r>
      <w:proofErr w:type="spellStart"/>
      <w:r w:rsidRPr="003A2E01">
        <w:rPr>
          <w:rFonts w:ascii="Arial" w:hAnsi="Arial" w:cs="Arial"/>
          <w:bCs/>
          <w:sz w:val="20"/>
          <w:szCs w:val="20"/>
        </w:rPr>
        <w:t>Ta</w:t>
      </w:r>
      <w:proofErr w:type="spellEnd"/>
      <w:r w:rsidRPr="003A2E01">
        <w:rPr>
          <w:rFonts w:ascii="Arial" w:hAnsi="Arial" w:cs="Arial"/>
          <w:bCs/>
          <w:sz w:val="20"/>
          <w:szCs w:val="20"/>
        </w:rPr>
        <w:t xml:space="preserve"> 72/23 – veröffentlicht am 3.11.2023</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rPr>
        <w:t>Streitwert - Vergleichsmehrwert – Zustimmungsersetzungsverfahren</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Leitsatz:</w:t>
      </w:r>
    </w:p>
    <w:p w:rsidR="000C4D69" w:rsidRPr="003A2E01" w:rsidRDefault="000C4D69" w:rsidP="000C4D69">
      <w:pPr>
        <w:spacing w:line="360" w:lineRule="auto"/>
        <w:jc w:val="both"/>
        <w:rPr>
          <w:rFonts w:ascii="Arial" w:hAnsi="Arial" w:cs="Arial"/>
          <w:sz w:val="20"/>
          <w:szCs w:val="20"/>
        </w:rPr>
      </w:pPr>
      <w:r w:rsidRPr="003A2E01">
        <w:rPr>
          <w:rFonts w:ascii="Arial" w:hAnsi="Arial" w:cs="Arial"/>
          <w:sz w:val="20"/>
          <w:szCs w:val="20"/>
        </w:rPr>
        <w:t>Wird ein paralleles Zustimmungsersetzungsverfahren gemäß § 103 Abs. 2 BetrVG in einem gerichtlichen Vergleich miterledigt, besteht aufgrund wirtschaftlicher Identität der beiden Zustimmungsersetzungsanträge kein Vergleichsmehrwert.</w:t>
      </w:r>
    </w:p>
    <w:p w:rsidR="000C4D69" w:rsidRPr="00F43103" w:rsidRDefault="000C4D69" w:rsidP="000C4D69">
      <w:pPr>
        <w:spacing w:line="360" w:lineRule="auto"/>
        <w:jc w:val="both"/>
        <w:rPr>
          <w:rFonts w:ascii="Arial" w:hAnsi="Arial" w:cs="Arial"/>
          <w:sz w:val="20"/>
          <w:szCs w:val="20"/>
        </w:rPr>
      </w:pPr>
      <w:r w:rsidRPr="00F43103">
        <w:rPr>
          <w:rFonts w:ascii="Arial" w:hAnsi="Arial" w:cs="Arial"/>
          <w:bCs/>
          <w:sz w:val="20"/>
          <w:szCs w:val="20"/>
          <w:u w:val="single"/>
        </w:rPr>
        <w:t>Siehe:</w:t>
      </w:r>
    </w:p>
    <w:p w:rsidR="000C4D69" w:rsidRPr="003A2E01" w:rsidRDefault="000C4D69" w:rsidP="000C4D69">
      <w:pPr>
        <w:spacing w:line="360" w:lineRule="auto"/>
        <w:jc w:val="both"/>
        <w:rPr>
          <w:rFonts w:ascii="Arial" w:hAnsi="Arial" w:cs="Arial"/>
          <w:sz w:val="20"/>
          <w:szCs w:val="20"/>
        </w:rPr>
      </w:pPr>
      <w:hyperlink r:id="rId10" w:tgtFrame="_blank" w:history="1">
        <w:r w:rsidRPr="003A2E01">
          <w:rPr>
            <w:rStyle w:val="Hyperlink"/>
            <w:rFonts w:ascii="Arial" w:hAnsi="Arial" w:cs="Arial"/>
            <w:sz w:val="20"/>
            <w:szCs w:val="20"/>
          </w:rPr>
          <w:t>http://lrbw.juris.de/cgi-bin/laender_rechtsprechung/document.py?Gericht=bw&amp;GerichtAuswahl=Arbeitsgerichte&amp;Art=en&amp;Datum=2023&amp;Seite=0&amp;nr=39181&amp;pos=2&amp;anz=38</w:t>
        </w:r>
      </w:hyperlink>
    </w:p>
    <w:p w:rsidR="000C4D69" w:rsidRDefault="000C4D69" w:rsidP="000C4D69">
      <w:pPr>
        <w:spacing w:line="360" w:lineRule="auto"/>
        <w:jc w:val="both"/>
        <w:rPr>
          <w:rFonts w:ascii="Arial" w:hAnsi="Arial" w:cs="Arial"/>
          <w:sz w:val="20"/>
          <w:szCs w:val="20"/>
        </w:rPr>
      </w:pPr>
      <w:r>
        <w:rPr>
          <w:rFonts w:ascii="Arial" w:hAnsi="Arial" w:cs="Arial"/>
          <w:sz w:val="20"/>
          <w:szCs w:val="20"/>
        </w:rPr>
        <w:br w:type="page"/>
      </w:r>
    </w:p>
    <w:p w:rsidR="000C4D69" w:rsidRPr="003A2E01" w:rsidRDefault="000C4D69" w:rsidP="000C4D69">
      <w:pPr>
        <w:keepNext/>
        <w:spacing w:line="360" w:lineRule="auto"/>
        <w:jc w:val="center"/>
        <w:rPr>
          <w:rFonts w:ascii="Arial" w:hAnsi="Arial" w:cs="Arial"/>
          <w:b/>
          <w:sz w:val="20"/>
          <w:szCs w:val="20"/>
        </w:rPr>
      </w:pPr>
      <w:r w:rsidRPr="003A2E01">
        <w:rPr>
          <w:rFonts w:ascii="Arial" w:hAnsi="Arial" w:cs="Arial"/>
          <w:b/>
          <w:sz w:val="20"/>
          <w:szCs w:val="20"/>
        </w:rPr>
        <w:lastRenderedPageBreak/>
        <w:t>III.</w:t>
      </w:r>
    </w:p>
    <w:p w:rsidR="000C4D69" w:rsidRPr="003A2E01" w:rsidRDefault="000C4D69" w:rsidP="000C4D69">
      <w:pPr>
        <w:spacing w:line="360" w:lineRule="auto"/>
        <w:jc w:val="center"/>
        <w:rPr>
          <w:rFonts w:ascii="Arial" w:hAnsi="Arial" w:cs="Arial"/>
          <w:b/>
          <w:bCs/>
          <w:sz w:val="20"/>
          <w:szCs w:val="20"/>
        </w:rPr>
      </w:pPr>
      <w:r w:rsidRPr="003A2E01">
        <w:rPr>
          <w:rFonts w:ascii="Arial" w:hAnsi="Arial" w:cs="Arial"/>
          <w:b/>
          <w:bCs/>
          <w:sz w:val="20"/>
          <w:szCs w:val="20"/>
        </w:rPr>
        <w:t>Landesarbeitsgericht Baden-Württemberg</w:t>
      </w:r>
    </w:p>
    <w:p w:rsidR="000C4D69" w:rsidRPr="003A2E01" w:rsidRDefault="000C4D69" w:rsidP="000C4D69">
      <w:pPr>
        <w:spacing w:line="360" w:lineRule="auto"/>
        <w:jc w:val="center"/>
        <w:rPr>
          <w:rFonts w:ascii="Arial" w:hAnsi="Arial" w:cs="Arial"/>
          <w:sz w:val="20"/>
          <w:szCs w:val="20"/>
        </w:rPr>
      </w:pPr>
      <w:r w:rsidRPr="003A2E01">
        <w:rPr>
          <w:rFonts w:ascii="Arial" w:hAnsi="Arial" w:cs="Arial"/>
          <w:bCs/>
          <w:sz w:val="20"/>
          <w:szCs w:val="20"/>
        </w:rPr>
        <w:t xml:space="preserve">Beschluss vom 16.8.2023, 10 </w:t>
      </w:r>
      <w:proofErr w:type="spellStart"/>
      <w:r w:rsidRPr="003A2E01">
        <w:rPr>
          <w:rFonts w:ascii="Arial" w:hAnsi="Arial" w:cs="Arial"/>
          <w:bCs/>
          <w:sz w:val="20"/>
          <w:szCs w:val="20"/>
        </w:rPr>
        <w:t>TaBV</w:t>
      </w:r>
      <w:proofErr w:type="spellEnd"/>
      <w:r w:rsidRPr="003A2E01">
        <w:rPr>
          <w:rFonts w:ascii="Arial" w:hAnsi="Arial" w:cs="Arial"/>
          <w:bCs/>
          <w:sz w:val="20"/>
          <w:szCs w:val="20"/>
        </w:rPr>
        <w:t xml:space="preserve"> 2/23 – veröffentlicht am 7.11.2023</w:t>
      </w:r>
    </w:p>
    <w:p w:rsidR="000C4D69" w:rsidRDefault="000C4D69" w:rsidP="000C4D69">
      <w:pPr>
        <w:spacing w:line="360" w:lineRule="auto"/>
        <w:jc w:val="both"/>
        <w:rPr>
          <w:rFonts w:ascii="Arial" w:hAnsi="Arial" w:cs="Arial"/>
          <w:b/>
          <w:bCs/>
          <w:sz w:val="20"/>
          <w:szCs w:val="20"/>
        </w:rPr>
      </w:pPr>
      <w:r w:rsidRPr="003A2E01">
        <w:rPr>
          <w:rFonts w:ascii="Arial" w:hAnsi="Arial" w:cs="Arial"/>
          <w:b/>
          <w:bCs/>
          <w:sz w:val="20"/>
          <w:szCs w:val="20"/>
        </w:rPr>
        <w:t xml:space="preserve">Zweifelhaftigkeit des Bestehens einer betriebsratsfähigen Organisationseinheit </w:t>
      </w:r>
      <w:r>
        <w:rPr>
          <w:rFonts w:ascii="Arial" w:hAnsi="Arial" w:cs="Arial"/>
          <w:b/>
          <w:bCs/>
          <w:sz w:val="20"/>
          <w:szCs w:val="20"/>
        </w:rPr>
        <w:t>–</w:t>
      </w:r>
      <w:r w:rsidRPr="003A2E01">
        <w:rPr>
          <w:rFonts w:ascii="Arial" w:hAnsi="Arial" w:cs="Arial"/>
          <w:b/>
          <w:bCs/>
          <w:sz w:val="20"/>
          <w:szCs w:val="20"/>
        </w:rPr>
        <w:t xml:space="preserve"> </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rPr>
        <w:t>Beteiligung einer Gewerkschaft</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Siehe:</w:t>
      </w:r>
    </w:p>
    <w:p w:rsidR="000C4D69" w:rsidRPr="003A2E01" w:rsidRDefault="000C4D69" w:rsidP="000C4D69">
      <w:pPr>
        <w:spacing w:line="360" w:lineRule="auto"/>
        <w:jc w:val="both"/>
        <w:rPr>
          <w:rFonts w:ascii="Arial" w:hAnsi="Arial" w:cs="Arial"/>
          <w:sz w:val="20"/>
          <w:szCs w:val="20"/>
          <w:u w:val="single"/>
        </w:rPr>
      </w:pPr>
      <w:hyperlink r:id="rId11" w:tgtFrame="_blank" w:history="1">
        <w:r w:rsidRPr="003A2E01">
          <w:rPr>
            <w:rStyle w:val="Hyperlink"/>
            <w:rFonts w:ascii="Arial" w:hAnsi="Arial" w:cs="Arial"/>
            <w:sz w:val="20"/>
            <w:szCs w:val="20"/>
          </w:rPr>
          <w:t>http://lrbw.juris.de/cgi-bin/laender_rechtsprechung/document.py?Gericht=bw&amp;GerichtAuswahl=Arbeitsgerichte&amp;Art=en&amp;Datum=2023&amp;Seite=0&amp;nr=39183&amp;pos=5&amp;anz=38</w:t>
        </w:r>
      </w:hyperlink>
    </w:p>
    <w:p w:rsidR="000C4D69" w:rsidRPr="003A2E01" w:rsidRDefault="000C4D69" w:rsidP="000C4D69">
      <w:pPr>
        <w:spacing w:line="360" w:lineRule="auto"/>
        <w:jc w:val="both"/>
        <w:rPr>
          <w:rFonts w:ascii="Arial" w:hAnsi="Arial" w:cs="Arial"/>
          <w:sz w:val="20"/>
          <w:szCs w:val="20"/>
        </w:rPr>
      </w:pPr>
    </w:p>
    <w:p w:rsidR="000C4D69" w:rsidRPr="003A2E01" w:rsidRDefault="000C4D69" w:rsidP="000C4D69">
      <w:pPr>
        <w:spacing w:line="360" w:lineRule="auto"/>
        <w:jc w:val="center"/>
        <w:rPr>
          <w:rFonts w:ascii="Arial" w:hAnsi="Arial" w:cs="Arial"/>
          <w:b/>
          <w:sz w:val="20"/>
          <w:szCs w:val="20"/>
        </w:rPr>
      </w:pPr>
      <w:r w:rsidRPr="003A2E01">
        <w:rPr>
          <w:rFonts w:ascii="Arial" w:hAnsi="Arial" w:cs="Arial"/>
          <w:b/>
          <w:sz w:val="20"/>
          <w:szCs w:val="20"/>
        </w:rPr>
        <w:t>IV.</w:t>
      </w:r>
    </w:p>
    <w:p w:rsidR="000C4D69" w:rsidRPr="003A2E01" w:rsidRDefault="000C4D69" w:rsidP="000C4D69">
      <w:pPr>
        <w:spacing w:line="360" w:lineRule="auto"/>
        <w:jc w:val="center"/>
        <w:rPr>
          <w:rFonts w:ascii="Arial" w:hAnsi="Arial" w:cs="Arial"/>
          <w:b/>
          <w:bCs/>
          <w:sz w:val="20"/>
          <w:szCs w:val="20"/>
        </w:rPr>
      </w:pPr>
      <w:r w:rsidRPr="003A2E01">
        <w:rPr>
          <w:rFonts w:ascii="Arial" w:hAnsi="Arial" w:cs="Arial"/>
          <w:b/>
          <w:bCs/>
          <w:sz w:val="20"/>
          <w:szCs w:val="20"/>
        </w:rPr>
        <w:t>Landesarbeitsgericht Baden-Württemberg</w:t>
      </w:r>
    </w:p>
    <w:p w:rsidR="000C4D69" w:rsidRPr="003A2E01" w:rsidRDefault="000C4D69" w:rsidP="000C4D69">
      <w:pPr>
        <w:spacing w:line="360" w:lineRule="auto"/>
        <w:jc w:val="center"/>
        <w:rPr>
          <w:rFonts w:ascii="Arial" w:hAnsi="Arial" w:cs="Arial"/>
          <w:sz w:val="20"/>
          <w:szCs w:val="20"/>
        </w:rPr>
      </w:pPr>
      <w:r w:rsidRPr="003A2E01">
        <w:rPr>
          <w:rFonts w:ascii="Arial" w:hAnsi="Arial" w:cs="Arial"/>
          <w:bCs/>
          <w:sz w:val="20"/>
          <w:szCs w:val="20"/>
        </w:rPr>
        <w:t xml:space="preserve">Beschluss vom 6.4.2023, 5 </w:t>
      </w:r>
      <w:proofErr w:type="spellStart"/>
      <w:r w:rsidRPr="003A2E01">
        <w:rPr>
          <w:rFonts w:ascii="Arial" w:hAnsi="Arial" w:cs="Arial"/>
          <w:bCs/>
          <w:sz w:val="20"/>
          <w:szCs w:val="20"/>
        </w:rPr>
        <w:t>Ta</w:t>
      </w:r>
      <w:proofErr w:type="spellEnd"/>
      <w:r w:rsidRPr="003A2E01">
        <w:rPr>
          <w:rFonts w:ascii="Arial" w:hAnsi="Arial" w:cs="Arial"/>
          <w:bCs/>
          <w:sz w:val="20"/>
          <w:szCs w:val="20"/>
        </w:rPr>
        <w:t xml:space="preserve"> 20/23 – veröffentlicht am 11.11.2023</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rPr>
        <w:t>Annahmeverzug - unbedingter Weiterbeschäftigungsantrag - wirtschaftliche Identität</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Leitsatz:</w:t>
      </w:r>
    </w:p>
    <w:p w:rsidR="000C4D69" w:rsidRPr="003A2E01" w:rsidRDefault="000C4D69" w:rsidP="000C4D69">
      <w:pPr>
        <w:spacing w:line="360" w:lineRule="auto"/>
        <w:jc w:val="both"/>
        <w:rPr>
          <w:rFonts w:ascii="Arial" w:hAnsi="Arial" w:cs="Arial"/>
          <w:sz w:val="20"/>
          <w:szCs w:val="20"/>
        </w:rPr>
      </w:pPr>
      <w:r w:rsidRPr="003A2E01">
        <w:rPr>
          <w:rFonts w:ascii="Arial" w:hAnsi="Arial" w:cs="Arial"/>
          <w:sz w:val="20"/>
          <w:szCs w:val="20"/>
        </w:rPr>
        <w:t>Es liegt ausnahmsweise keine wirtschaftliche Identität zwischen einem Anspruch auf Vergütung nach Ablauf der Kündigungsfrist und einem Kündigungsschutzantrag vor, wenn der Arbeitnehmer einen Weiterbeschäftigungsantrag nach § 102 V 1 BetrVG gestellt hat.</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Siehe:</w:t>
      </w:r>
    </w:p>
    <w:p w:rsidR="000C4D69" w:rsidRPr="003A2E01" w:rsidRDefault="000C4D69" w:rsidP="000C4D69">
      <w:pPr>
        <w:spacing w:line="360" w:lineRule="auto"/>
        <w:jc w:val="both"/>
        <w:rPr>
          <w:rFonts w:ascii="Arial" w:hAnsi="Arial" w:cs="Arial"/>
          <w:sz w:val="20"/>
          <w:szCs w:val="20"/>
        </w:rPr>
      </w:pPr>
      <w:hyperlink r:id="rId12" w:tgtFrame="_blank" w:history="1">
        <w:r w:rsidRPr="003A2E01">
          <w:rPr>
            <w:rStyle w:val="Hyperlink"/>
            <w:rFonts w:ascii="Arial" w:hAnsi="Arial" w:cs="Arial"/>
            <w:sz w:val="20"/>
            <w:szCs w:val="20"/>
          </w:rPr>
          <w:t>http://lrbw.juris.de/cgi-bin/laender_rechtsprechung/document.py?Gericht=bw&amp;GerichtAuswahl=Arbeitsgerichte&amp;Art=en&amp;Datum=2023&amp;Seite=2&amp;nr=39207&amp;pos=20&amp;anz=38</w:t>
        </w:r>
      </w:hyperlink>
    </w:p>
    <w:p w:rsidR="000C4D69" w:rsidRPr="003A2E01" w:rsidRDefault="000C4D69" w:rsidP="000C4D69">
      <w:pPr>
        <w:spacing w:line="360" w:lineRule="auto"/>
        <w:jc w:val="both"/>
        <w:rPr>
          <w:rFonts w:ascii="Arial" w:hAnsi="Arial" w:cs="Arial"/>
          <w:sz w:val="20"/>
          <w:szCs w:val="20"/>
        </w:rPr>
      </w:pPr>
    </w:p>
    <w:p w:rsidR="000C4D69" w:rsidRPr="003A2E01" w:rsidRDefault="000C4D69" w:rsidP="000C4D69">
      <w:pPr>
        <w:keepNext/>
        <w:spacing w:line="360" w:lineRule="auto"/>
        <w:jc w:val="center"/>
        <w:rPr>
          <w:rFonts w:ascii="Arial" w:hAnsi="Arial" w:cs="Arial"/>
          <w:b/>
          <w:sz w:val="20"/>
          <w:szCs w:val="20"/>
        </w:rPr>
      </w:pPr>
      <w:r w:rsidRPr="003A2E01">
        <w:rPr>
          <w:rFonts w:ascii="Arial" w:hAnsi="Arial" w:cs="Arial"/>
          <w:b/>
          <w:sz w:val="20"/>
          <w:szCs w:val="20"/>
        </w:rPr>
        <w:t>V.</w:t>
      </w:r>
    </w:p>
    <w:p w:rsidR="000C4D69" w:rsidRPr="003A2E01" w:rsidRDefault="000C4D69" w:rsidP="000C4D69">
      <w:pPr>
        <w:spacing w:line="360" w:lineRule="auto"/>
        <w:jc w:val="center"/>
        <w:rPr>
          <w:rFonts w:ascii="Arial" w:hAnsi="Arial" w:cs="Arial"/>
          <w:b/>
          <w:bCs/>
          <w:sz w:val="20"/>
          <w:szCs w:val="20"/>
        </w:rPr>
      </w:pPr>
      <w:r w:rsidRPr="003A2E01">
        <w:rPr>
          <w:rFonts w:ascii="Arial" w:hAnsi="Arial" w:cs="Arial"/>
          <w:b/>
          <w:bCs/>
          <w:sz w:val="20"/>
          <w:szCs w:val="20"/>
        </w:rPr>
        <w:t>Landesarbeitsgericht Hamm</w:t>
      </w:r>
    </w:p>
    <w:p w:rsidR="000C4D69" w:rsidRPr="003A2E01" w:rsidRDefault="000C4D69" w:rsidP="000C4D69">
      <w:pPr>
        <w:spacing w:line="360" w:lineRule="auto"/>
        <w:jc w:val="center"/>
        <w:rPr>
          <w:rFonts w:ascii="Arial" w:hAnsi="Arial" w:cs="Arial"/>
          <w:bCs/>
          <w:sz w:val="20"/>
          <w:szCs w:val="20"/>
        </w:rPr>
      </w:pPr>
      <w:r w:rsidRPr="003A2E01">
        <w:rPr>
          <w:rFonts w:ascii="Arial" w:hAnsi="Arial" w:cs="Arial"/>
          <w:bCs/>
          <w:sz w:val="20"/>
          <w:szCs w:val="20"/>
        </w:rPr>
        <w:t xml:space="preserve">Beschluss vom 21.09.2023, 12 </w:t>
      </w:r>
      <w:proofErr w:type="spellStart"/>
      <w:r w:rsidRPr="003A2E01">
        <w:rPr>
          <w:rFonts w:ascii="Arial" w:hAnsi="Arial" w:cs="Arial"/>
          <w:bCs/>
          <w:sz w:val="20"/>
          <w:szCs w:val="20"/>
        </w:rPr>
        <w:t>Ta</w:t>
      </w:r>
      <w:proofErr w:type="spellEnd"/>
      <w:r w:rsidRPr="003A2E01">
        <w:rPr>
          <w:rFonts w:ascii="Arial" w:hAnsi="Arial" w:cs="Arial"/>
          <w:bCs/>
          <w:sz w:val="20"/>
          <w:szCs w:val="20"/>
        </w:rPr>
        <w:t xml:space="preserve"> 216/23</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rPr>
        <w:t>Verwerfung des Einspruchs gegen ein Versäumnisurteil im Beschlusswege -Meistbegünstigung - Zustellung im Ausland - Öffentliche Zustellung</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Leitsatz:</w:t>
      </w:r>
    </w:p>
    <w:p w:rsidR="000C4D69" w:rsidRPr="00FA1E49" w:rsidRDefault="000C4D69" w:rsidP="000C4D69">
      <w:pPr>
        <w:pStyle w:val="Listenabsatz"/>
        <w:numPr>
          <w:ilvl w:val="0"/>
          <w:numId w:val="27"/>
        </w:numPr>
        <w:spacing w:line="360" w:lineRule="auto"/>
        <w:ind w:left="567" w:hanging="567"/>
        <w:jc w:val="both"/>
        <w:rPr>
          <w:rFonts w:ascii="Arial" w:hAnsi="Arial" w:cs="Arial"/>
          <w:sz w:val="20"/>
          <w:szCs w:val="20"/>
        </w:rPr>
      </w:pPr>
      <w:r w:rsidRPr="00FA1E49">
        <w:rPr>
          <w:rFonts w:ascii="Arial" w:hAnsi="Arial" w:cs="Arial"/>
          <w:sz w:val="20"/>
          <w:szCs w:val="20"/>
        </w:rPr>
        <w:t>Wird der Einspruch gegen ein Versäumnisurteil entgegen § 341 Abs. 2 ZPO durch Beschluss verworfen, sind nach Maßgabe des Meistbegünstigungsgrundsatzes sowohl die sofortige Beschwerde als auch die Berufung statthaft.</w:t>
      </w:r>
    </w:p>
    <w:p w:rsidR="000C4D69" w:rsidRPr="003A2E01" w:rsidRDefault="000C4D69" w:rsidP="000C4D69">
      <w:pPr>
        <w:pStyle w:val="Listenabsatz"/>
        <w:numPr>
          <w:ilvl w:val="0"/>
          <w:numId w:val="27"/>
        </w:numPr>
        <w:spacing w:line="360" w:lineRule="auto"/>
        <w:ind w:left="567" w:hanging="567"/>
        <w:jc w:val="both"/>
        <w:rPr>
          <w:rFonts w:ascii="Arial" w:hAnsi="Arial" w:cs="Arial"/>
          <w:sz w:val="20"/>
          <w:szCs w:val="20"/>
        </w:rPr>
      </w:pPr>
      <w:r w:rsidRPr="003A2E01">
        <w:rPr>
          <w:rFonts w:ascii="Arial" w:hAnsi="Arial" w:cs="Arial"/>
          <w:sz w:val="20"/>
          <w:szCs w:val="20"/>
        </w:rPr>
        <w:t>Wird sofortige Beschwerde gegen den Beschluss eingelegt, ist das Verfahren vom Landesarbeitsgericht in dieser Verfahrensart fortzuführen, weil im Beschwerdeverfahren und im Berufungsverfahren unterschiedliche Spruchkörper zuständig sind.</w:t>
      </w:r>
    </w:p>
    <w:p w:rsidR="000C4D69" w:rsidRPr="003A2E01" w:rsidRDefault="000C4D69" w:rsidP="000C4D69">
      <w:pPr>
        <w:pStyle w:val="Listenabsatz"/>
        <w:numPr>
          <w:ilvl w:val="0"/>
          <w:numId w:val="27"/>
        </w:numPr>
        <w:spacing w:line="360" w:lineRule="auto"/>
        <w:ind w:left="567" w:hanging="567"/>
        <w:jc w:val="both"/>
        <w:rPr>
          <w:rFonts w:ascii="Arial" w:hAnsi="Arial" w:cs="Arial"/>
          <w:sz w:val="20"/>
          <w:szCs w:val="20"/>
        </w:rPr>
      </w:pPr>
      <w:r w:rsidRPr="003A2E01">
        <w:rPr>
          <w:rFonts w:ascii="Arial" w:hAnsi="Arial" w:cs="Arial"/>
          <w:sz w:val="20"/>
          <w:szCs w:val="20"/>
        </w:rPr>
        <w:t>Liegen die Voraussetzungen für eine öffentliche Zustellung nicht vor, weil das Arbeitsgericht zu Unrecht davon ausgeht, dass der Aufenthaltsort unbekannt ist, beginnt der Lauf der Einspruchsfrist nicht. Das gleiche gilt, wenn die Einspruchsfrist entgegen § 329 Abs. 3 ZPO nicht ausdrücklich bestimmt wird.</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Siehe:</w:t>
      </w:r>
    </w:p>
    <w:p w:rsidR="000C4D69" w:rsidRPr="003A2E01" w:rsidRDefault="000C4D69" w:rsidP="000C4D69">
      <w:pPr>
        <w:spacing w:line="360" w:lineRule="auto"/>
        <w:jc w:val="both"/>
        <w:rPr>
          <w:rFonts w:ascii="Arial" w:hAnsi="Arial" w:cs="Arial"/>
          <w:sz w:val="20"/>
          <w:szCs w:val="20"/>
        </w:rPr>
      </w:pPr>
      <w:hyperlink r:id="rId13" w:tgtFrame="_blank" w:history="1">
        <w:r w:rsidRPr="003A2E01">
          <w:rPr>
            <w:rStyle w:val="Hyperlink"/>
            <w:rFonts w:ascii="Arial" w:hAnsi="Arial" w:cs="Arial"/>
            <w:sz w:val="20"/>
            <w:szCs w:val="20"/>
          </w:rPr>
          <w:t>https://www.justiz.nrw/nrwe/arbgs/hamm/lag_hamm/j2023/12_Ta_216_23_Beschluss_20230921.html</w:t>
        </w:r>
      </w:hyperlink>
    </w:p>
    <w:p w:rsidR="000C4D69" w:rsidRPr="003A2E01" w:rsidRDefault="000C4D69" w:rsidP="000C4D69">
      <w:pPr>
        <w:spacing w:line="360" w:lineRule="auto"/>
        <w:jc w:val="both"/>
        <w:rPr>
          <w:rFonts w:ascii="Arial" w:hAnsi="Arial" w:cs="Arial"/>
          <w:sz w:val="20"/>
          <w:szCs w:val="20"/>
        </w:rPr>
      </w:pPr>
    </w:p>
    <w:p w:rsidR="000C4D69" w:rsidRPr="003A2E01" w:rsidRDefault="000C4D69" w:rsidP="000C4D69">
      <w:pPr>
        <w:keepNext/>
        <w:spacing w:line="360" w:lineRule="auto"/>
        <w:jc w:val="center"/>
        <w:rPr>
          <w:rFonts w:ascii="Arial" w:hAnsi="Arial" w:cs="Arial"/>
          <w:b/>
          <w:sz w:val="20"/>
          <w:szCs w:val="20"/>
        </w:rPr>
      </w:pPr>
      <w:r w:rsidRPr="003A2E01">
        <w:rPr>
          <w:rFonts w:ascii="Arial" w:hAnsi="Arial" w:cs="Arial"/>
          <w:b/>
          <w:sz w:val="20"/>
          <w:szCs w:val="20"/>
        </w:rPr>
        <w:t>VI.</w:t>
      </w:r>
    </w:p>
    <w:p w:rsidR="000C4D69" w:rsidRPr="003A2E01" w:rsidRDefault="000C4D69" w:rsidP="000C4D69">
      <w:pPr>
        <w:spacing w:line="360" w:lineRule="auto"/>
        <w:jc w:val="center"/>
        <w:rPr>
          <w:rFonts w:ascii="Arial" w:hAnsi="Arial" w:cs="Arial"/>
          <w:b/>
          <w:bCs/>
          <w:sz w:val="20"/>
          <w:szCs w:val="20"/>
        </w:rPr>
      </w:pPr>
      <w:r w:rsidRPr="003A2E01">
        <w:rPr>
          <w:rFonts w:ascii="Arial" w:hAnsi="Arial" w:cs="Arial"/>
          <w:b/>
          <w:bCs/>
          <w:sz w:val="20"/>
          <w:szCs w:val="20"/>
        </w:rPr>
        <w:t>Landesarbeitsgericht Hamm</w:t>
      </w:r>
    </w:p>
    <w:p w:rsidR="000C4D69" w:rsidRPr="003A2E01" w:rsidRDefault="000C4D69" w:rsidP="000C4D69">
      <w:pPr>
        <w:spacing w:line="360" w:lineRule="auto"/>
        <w:jc w:val="center"/>
        <w:rPr>
          <w:rFonts w:ascii="Arial" w:hAnsi="Arial" w:cs="Arial"/>
          <w:sz w:val="20"/>
          <w:szCs w:val="20"/>
        </w:rPr>
      </w:pPr>
      <w:r w:rsidRPr="003A2E01">
        <w:rPr>
          <w:rFonts w:ascii="Arial" w:hAnsi="Arial" w:cs="Arial"/>
          <w:bCs/>
          <w:sz w:val="20"/>
          <w:szCs w:val="20"/>
        </w:rPr>
        <w:t>Urteil vom 27.09.2023, 4 Sa 163/22</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rPr>
        <w:t xml:space="preserve">Betriebliche Altersversorgung, Konzernbetriebsvereinbarung, </w:t>
      </w:r>
      <w:proofErr w:type="spellStart"/>
      <w:r w:rsidRPr="003A2E01">
        <w:rPr>
          <w:rFonts w:ascii="Arial" w:hAnsi="Arial" w:cs="Arial"/>
          <w:b/>
          <w:bCs/>
          <w:sz w:val="20"/>
          <w:szCs w:val="20"/>
        </w:rPr>
        <w:t>falsa</w:t>
      </w:r>
      <w:proofErr w:type="spellEnd"/>
      <w:r w:rsidRPr="003A2E01">
        <w:rPr>
          <w:rFonts w:ascii="Arial" w:hAnsi="Arial" w:cs="Arial"/>
          <w:b/>
          <w:bCs/>
          <w:sz w:val="20"/>
          <w:szCs w:val="20"/>
        </w:rPr>
        <w:t xml:space="preserve"> </w:t>
      </w:r>
      <w:proofErr w:type="spellStart"/>
      <w:r w:rsidRPr="003A2E01">
        <w:rPr>
          <w:rFonts w:ascii="Arial" w:hAnsi="Arial" w:cs="Arial"/>
          <w:b/>
          <w:bCs/>
          <w:sz w:val="20"/>
          <w:szCs w:val="20"/>
        </w:rPr>
        <w:t>demonstratio</w:t>
      </w:r>
      <w:proofErr w:type="spellEnd"/>
      <w:r w:rsidRPr="003A2E01">
        <w:rPr>
          <w:rFonts w:ascii="Arial" w:hAnsi="Arial" w:cs="Arial"/>
          <w:b/>
          <w:bCs/>
          <w:sz w:val="20"/>
          <w:szCs w:val="20"/>
        </w:rPr>
        <w:t>, Versorgungsschuldner, verschlechternder Eingriff, Drei-Stufen-Schema, sachlich-proportionale Gründe, Pensionsrückstellungen, Stahlkrise</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 xml:space="preserve">Leitsätze: </w:t>
      </w:r>
    </w:p>
    <w:p w:rsidR="000C4D69" w:rsidRPr="003A2E01" w:rsidRDefault="000C4D69" w:rsidP="000C4D69">
      <w:pPr>
        <w:pStyle w:val="Listenabsatz"/>
        <w:numPr>
          <w:ilvl w:val="0"/>
          <w:numId w:val="28"/>
        </w:numPr>
        <w:spacing w:line="360" w:lineRule="auto"/>
        <w:ind w:left="567" w:hanging="567"/>
        <w:jc w:val="both"/>
        <w:rPr>
          <w:rFonts w:ascii="Arial" w:hAnsi="Arial" w:cs="Arial"/>
          <w:sz w:val="20"/>
          <w:szCs w:val="20"/>
        </w:rPr>
      </w:pPr>
      <w:r w:rsidRPr="003A2E01">
        <w:rPr>
          <w:rFonts w:ascii="Arial" w:hAnsi="Arial" w:cs="Arial"/>
          <w:sz w:val="20"/>
          <w:szCs w:val="20"/>
        </w:rPr>
        <w:t>Nehmen die Parteien eines Arbeitsvertrags auf eine mittlerweile abgelöste Versorgungsordnung Bezug, ohne dass es tatsächliche Umstände gibt, die für die Annahme sprechen, dass es dem Willen der Vertragsparteien entspricht, eine betriebliche Altersversorgung nach jener Versorgungsordnung zu vereinbaren, kann nach dem Grundsatz "</w:t>
      </w:r>
      <w:proofErr w:type="spellStart"/>
      <w:r w:rsidRPr="003A2E01">
        <w:rPr>
          <w:rFonts w:ascii="Arial" w:hAnsi="Arial" w:cs="Arial"/>
          <w:sz w:val="20"/>
          <w:szCs w:val="20"/>
        </w:rPr>
        <w:t>falsa</w:t>
      </w:r>
      <w:proofErr w:type="spellEnd"/>
      <w:r w:rsidRPr="003A2E01">
        <w:rPr>
          <w:rFonts w:ascii="Arial" w:hAnsi="Arial" w:cs="Arial"/>
          <w:sz w:val="20"/>
          <w:szCs w:val="20"/>
        </w:rPr>
        <w:t xml:space="preserve"> </w:t>
      </w:r>
      <w:proofErr w:type="spellStart"/>
      <w:r w:rsidRPr="003A2E01">
        <w:rPr>
          <w:rFonts w:ascii="Arial" w:hAnsi="Arial" w:cs="Arial"/>
          <w:sz w:val="20"/>
          <w:szCs w:val="20"/>
        </w:rPr>
        <w:t>demonstratio</w:t>
      </w:r>
      <w:proofErr w:type="spellEnd"/>
      <w:r w:rsidRPr="003A2E01">
        <w:rPr>
          <w:rFonts w:ascii="Arial" w:hAnsi="Arial" w:cs="Arial"/>
          <w:sz w:val="20"/>
          <w:szCs w:val="20"/>
        </w:rPr>
        <w:t xml:space="preserve"> non </w:t>
      </w:r>
      <w:proofErr w:type="spellStart"/>
      <w:r w:rsidRPr="003A2E01">
        <w:rPr>
          <w:rFonts w:ascii="Arial" w:hAnsi="Arial" w:cs="Arial"/>
          <w:sz w:val="20"/>
          <w:szCs w:val="20"/>
        </w:rPr>
        <w:t>nocet</w:t>
      </w:r>
      <w:proofErr w:type="spellEnd"/>
      <w:r w:rsidRPr="003A2E01">
        <w:rPr>
          <w:rFonts w:ascii="Arial" w:hAnsi="Arial" w:cs="Arial"/>
          <w:sz w:val="20"/>
          <w:szCs w:val="20"/>
        </w:rPr>
        <w:t>" angenommen werden, dass eine Versorgung nach der zum Zeitpunkt des Vertragsschlusses im Unternehmen gültigen Versorgungsordnung gewollt war.</w:t>
      </w:r>
    </w:p>
    <w:p w:rsidR="000C4D69" w:rsidRPr="003A2E01" w:rsidRDefault="000C4D69" w:rsidP="000C4D69">
      <w:pPr>
        <w:pStyle w:val="Listenabsatz"/>
        <w:numPr>
          <w:ilvl w:val="0"/>
          <w:numId w:val="28"/>
        </w:numPr>
        <w:spacing w:line="360" w:lineRule="auto"/>
        <w:ind w:left="567" w:hanging="567"/>
        <w:jc w:val="both"/>
        <w:rPr>
          <w:rFonts w:ascii="Arial" w:hAnsi="Arial" w:cs="Arial"/>
          <w:sz w:val="20"/>
          <w:szCs w:val="20"/>
        </w:rPr>
      </w:pPr>
      <w:r w:rsidRPr="003A2E01">
        <w:rPr>
          <w:rFonts w:ascii="Arial" w:hAnsi="Arial" w:cs="Arial"/>
          <w:sz w:val="20"/>
          <w:szCs w:val="20"/>
        </w:rPr>
        <w:t>Lässt nach den Bestimmungen einer Konzernbetriebsvereinbarung ein Arbeitgeberwechsel innerhalb des Konzerns den Bestand einer Versorgungszusage unberührt, ist regelmäßig davon auszugehen, dass Versorgungsschuldner der letzte Vertragsarbeitgeber sein soll.</w:t>
      </w:r>
    </w:p>
    <w:p w:rsidR="000C4D69" w:rsidRPr="003A2E01" w:rsidRDefault="000C4D69" w:rsidP="000C4D69">
      <w:pPr>
        <w:pStyle w:val="Listenabsatz"/>
        <w:numPr>
          <w:ilvl w:val="0"/>
          <w:numId w:val="28"/>
        </w:numPr>
        <w:spacing w:line="360" w:lineRule="auto"/>
        <w:ind w:left="567" w:hanging="567"/>
        <w:jc w:val="both"/>
        <w:rPr>
          <w:rFonts w:ascii="Arial" w:hAnsi="Arial" w:cs="Arial"/>
          <w:sz w:val="20"/>
          <w:szCs w:val="20"/>
        </w:rPr>
      </w:pPr>
      <w:r w:rsidRPr="003A2E01">
        <w:rPr>
          <w:rFonts w:ascii="Arial" w:hAnsi="Arial" w:cs="Arial"/>
          <w:sz w:val="20"/>
          <w:szCs w:val="20"/>
        </w:rPr>
        <w:t>Bei einem verschlechternden Eingriff in eine auf einer Konzernbetriebsvereinbarung beruhenden Versorgungszusage ist ungeachtet der Person des Versorgungsschuldners regelmäßig die wirtschaftliche Lage des Konzerns maßgeblich.</w:t>
      </w:r>
    </w:p>
    <w:p w:rsidR="000C4D69" w:rsidRPr="003A2E01" w:rsidRDefault="000C4D69" w:rsidP="000C4D69">
      <w:pPr>
        <w:pStyle w:val="Listenabsatz"/>
        <w:numPr>
          <w:ilvl w:val="0"/>
          <w:numId w:val="28"/>
        </w:numPr>
        <w:spacing w:line="360" w:lineRule="auto"/>
        <w:ind w:left="567" w:hanging="567"/>
        <w:jc w:val="both"/>
        <w:rPr>
          <w:rFonts w:ascii="Arial" w:hAnsi="Arial" w:cs="Arial"/>
          <w:sz w:val="20"/>
          <w:szCs w:val="20"/>
        </w:rPr>
      </w:pPr>
      <w:r w:rsidRPr="003A2E01">
        <w:rPr>
          <w:rFonts w:ascii="Arial" w:hAnsi="Arial" w:cs="Arial"/>
          <w:sz w:val="20"/>
          <w:szCs w:val="20"/>
        </w:rPr>
        <w:t>Ein außergewöhnlich hoher Rückstellungsbedarf für künftige Versorgungsansprüche kann als "sachlich-proportionaler Grund" im Sinne des dreistufigen Prüfungsschemas des Bundesarbeitsgerichts einen verschlechternden Eingriff in eine auf einer Konzernbetriebsvereinbarung beruhenden Versorgungszusage rechtfertigen.</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Siehe:</w:t>
      </w:r>
    </w:p>
    <w:p w:rsidR="000C4D69" w:rsidRPr="003A2E01" w:rsidRDefault="000C4D69" w:rsidP="000C4D69">
      <w:pPr>
        <w:spacing w:line="360" w:lineRule="auto"/>
        <w:jc w:val="both"/>
        <w:rPr>
          <w:rFonts w:ascii="Arial" w:hAnsi="Arial" w:cs="Arial"/>
          <w:sz w:val="20"/>
          <w:szCs w:val="20"/>
        </w:rPr>
      </w:pPr>
      <w:hyperlink r:id="rId14" w:history="1">
        <w:r w:rsidRPr="000D29CC">
          <w:rPr>
            <w:rStyle w:val="Hyperlink"/>
            <w:rFonts w:ascii="Arial" w:hAnsi="Arial" w:cs="Arial"/>
            <w:sz w:val="20"/>
            <w:szCs w:val="20"/>
          </w:rPr>
          <w:t>https://www.justiz.nrw/nrwe/arbgs/hamm/lag_hamm/j2023/4_Sa_163_22_Urteil_20230927.html</w:t>
        </w:r>
      </w:hyperlink>
    </w:p>
    <w:p w:rsidR="000C4D69" w:rsidRPr="003A2E01" w:rsidRDefault="000C4D69" w:rsidP="000C4D69">
      <w:pPr>
        <w:spacing w:line="360" w:lineRule="auto"/>
        <w:jc w:val="both"/>
        <w:rPr>
          <w:rFonts w:ascii="Arial" w:hAnsi="Arial" w:cs="Arial"/>
          <w:sz w:val="20"/>
          <w:szCs w:val="20"/>
        </w:rPr>
      </w:pPr>
    </w:p>
    <w:p w:rsidR="000C4D69" w:rsidRPr="003A2E01" w:rsidRDefault="000C4D69" w:rsidP="000C4D69">
      <w:pPr>
        <w:keepNext/>
        <w:spacing w:line="360" w:lineRule="auto"/>
        <w:jc w:val="center"/>
        <w:rPr>
          <w:rFonts w:ascii="Arial" w:hAnsi="Arial" w:cs="Arial"/>
          <w:b/>
          <w:sz w:val="20"/>
          <w:szCs w:val="20"/>
        </w:rPr>
      </w:pPr>
      <w:r w:rsidRPr="003A2E01">
        <w:rPr>
          <w:rFonts w:ascii="Arial" w:hAnsi="Arial" w:cs="Arial"/>
          <w:b/>
          <w:sz w:val="20"/>
          <w:szCs w:val="20"/>
        </w:rPr>
        <w:t>VII.</w:t>
      </w:r>
    </w:p>
    <w:p w:rsidR="000C4D69" w:rsidRPr="003A2E01" w:rsidRDefault="000C4D69" w:rsidP="000C4D69">
      <w:pPr>
        <w:spacing w:line="360" w:lineRule="auto"/>
        <w:jc w:val="center"/>
        <w:rPr>
          <w:rFonts w:ascii="Arial" w:hAnsi="Arial" w:cs="Arial"/>
          <w:b/>
          <w:bCs/>
          <w:sz w:val="20"/>
          <w:szCs w:val="20"/>
        </w:rPr>
      </w:pPr>
      <w:r w:rsidRPr="003A2E01">
        <w:rPr>
          <w:rFonts w:ascii="Arial" w:hAnsi="Arial" w:cs="Arial"/>
          <w:b/>
          <w:bCs/>
          <w:sz w:val="20"/>
          <w:szCs w:val="20"/>
        </w:rPr>
        <w:t>Landesarbeitsgericht Hamm</w:t>
      </w:r>
    </w:p>
    <w:p w:rsidR="000C4D69" w:rsidRPr="003A2E01" w:rsidRDefault="000C4D69" w:rsidP="000C4D69">
      <w:pPr>
        <w:spacing w:line="360" w:lineRule="auto"/>
        <w:jc w:val="center"/>
        <w:rPr>
          <w:rFonts w:ascii="Arial" w:hAnsi="Arial" w:cs="Arial"/>
          <w:sz w:val="20"/>
          <w:szCs w:val="20"/>
        </w:rPr>
      </w:pPr>
      <w:r w:rsidRPr="003A2E01">
        <w:rPr>
          <w:rFonts w:ascii="Arial" w:hAnsi="Arial" w:cs="Arial"/>
          <w:bCs/>
          <w:sz w:val="20"/>
          <w:szCs w:val="20"/>
        </w:rPr>
        <w:t xml:space="preserve">Beschluss vom 4.10.2023, 17 </w:t>
      </w:r>
      <w:proofErr w:type="spellStart"/>
      <w:r w:rsidRPr="003A2E01">
        <w:rPr>
          <w:rFonts w:ascii="Arial" w:hAnsi="Arial" w:cs="Arial"/>
          <w:bCs/>
          <w:sz w:val="20"/>
          <w:szCs w:val="20"/>
        </w:rPr>
        <w:t>Ta</w:t>
      </w:r>
      <w:proofErr w:type="spellEnd"/>
      <w:r w:rsidRPr="003A2E01">
        <w:rPr>
          <w:rFonts w:ascii="Arial" w:hAnsi="Arial" w:cs="Arial"/>
          <w:bCs/>
          <w:sz w:val="20"/>
          <w:szCs w:val="20"/>
        </w:rPr>
        <w:t xml:space="preserve"> 252/23</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rPr>
        <w:t>Mandatierung eines Rechtsanwalts als zusätzlichen Prozessbevollmächtigten neben einem Gewerkschaftsvertreter</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Leitsatz:</w:t>
      </w:r>
    </w:p>
    <w:p w:rsidR="000C4D69" w:rsidRPr="003A2E01" w:rsidRDefault="000C4D69" w:rsidP="000C4D69">
      <w:pPr>
        <w:spacing w:line="360" w:lineRule="auto"/>
        <w:jc w:val="both"/>
        <w:rPr>
          <w:rFonts w:ascii="Arial" w:hAnsi="Arial" w:cs="Arial"/>
          <w:sz w:val="20"/>
          <w:szCs w:val="20"/>
        </w:rPr>
      </w:pPr>
      <w:r w:rsidRPr="003A2E01">
        <w:rPr>
          <w:rFonts w:ascii="Arial" w:hAnsi="Arial" w:cs="Arial"/>
          <w:sz w:val="20"/>
          <w:szCs w:val="20"/>
        </w:rPr>
        <w:t xml:space="preserve">Die Mandatierung eines Rechtsanwalts als zusätzlichen Prozessbevollmächtigten neben einem Gewerkschaftsvertreter ist im Berufungsverfahren grundsätzlich nicht mehr als zweckentsprechend </w:t>
      </w:r>
      <w:proofErr w:type="spellStart"/>
      <w:r w:rsidRPr="003A2E01">
        <w:rPr>
          <w:rFonts w:ascii="Arial" w:hAnsi="Arial" w:cs="Arial"/>
          <w:sz w:val="20"/>
          <w:szCs w:val="20"/>
        </w:rPr>
        <w:t>iSv</w:t>
      </w:r>
      <w:proofErr w:type="spellEnd"/>
      <w:r w:rsidRPr="003A2E01">
        <w:rPr>
          <w:rFonts w:ascii="Arial" w:hAnsi="Arial" w:cs="Arial"/>
          <w:sz w:val="20"/>
          <w:szCs w:val="20"/>
        </w:rPr>
        <w:t xml:space="preserve">. § 91 Abs. 1 Satz 1 ZPO anzusehen, wenn sie nach Eingang der Berufungsbegründung und der </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Siehe:</w:t>
      </w:r>
    </w:p>
    <w:p w:rsidR="000C4D69" w:rsidRPr="003A2E01" w:rsidRDefault="000C4D69" w:rsidP="000C4D69">
      <w:pPr>
        <w:spacing w:line="360" w:lineRule="auto"/>
        <w:jc w:val="both"/>
        <w:rPr>
          <w:rFonts w:ascii="Arial" w:hAnsi="Arial" w:cs="Arial"/>
          <w:sz w:val="20"/>
          <w:szCs w:val="20"/>
        </w:rPr>
      </w:pPr>
      <w:hyperlink r:id="rId15" w:tgtFrame="_blank" w:history="1">
        <w:r w:rsidRPr="003A2E01">
          <w:rPr>
            <w:rStyle w:val="Hyperlink"/>
            <w:rFonts w:ascii="Arial" w:hAnsi="Arial" w:cs="Arial"/>
            <w:sz w:val="20"/>
            <w:szCs w:val="20"/>
          </w:rPr>
          <w:t>https://www.justiz.nrw/nrwe/arbgs/hamm/lag_hamm/j2023/17_Ta_252_23_Beschluss_20231004.html</w:t>
        </w:r>
      </w:hyperlink>
    </w:p>
    <w:p w:rsidR="000C4D69" w:rsidRPr="003A2E01" w:rsidRDefault="000C4D69" w:rsidP="000C4D69">
      <w:pPr>
        <w:spacing w:line="360" w:lineRule="auto"/>
        <w:jc w:val="both"/>
        <w:rPr>
          <w:rFonts w:ascii="Arial" w:hAnsi="Arial" w:cs="Arial"/>
          <w:sz w:val="20"/>
          <w:szCs w:val="20"/>
        </w:rPr>
      </w:pPr>
    </w:p>
    <w:p w:rsidR="000C4D69" w:rsidRPr="00F43103" w:rsidRDefault="000C4D69" w:rsidP="000C4D69">
      <w:pPr>
        <w:keepNext/>
        <w:spacing w:line="360" w:lineRule="auto"/>
        <w:jc w:val="center"/>
        <w:rPr>
          <w:rFonts w:ascii="Arial" w:hAnsi="Arial" w:cs="Arial"/>
          <w:b/>
          <w:sz w:val="20"/>
          <w:szCs w:val="20"/>
        </w:rPr>
      </w:pPr>
      <w:r w:rsidRPr="00F43103">
        <w:rPr>
          <w:rFonts w:ascii="Arial" w:hAnsi="Arial" w:cs="Arial"/>
          <w:b/>
          <w:sz w:val="20"/>
          <w:szCs w:val="20"/>
        </w:rPr>
        <w:lastRenderedPageBreak/>
        <w:t>VIII.</w:t>
      </w:r>
    </w:p>
    <w:p w:rsidR="000C4D69" w:rsidRPr="003A2E01" w:rsidRDefault="000C4D69" w:rsidP="000C4D69">
      <w:pPr>
        <w:spacing w:line="360" w:lineRule="auto"/>
        <w:jc w:val="center"/>
        <w:rPr>
          <w:rFonts w:ascii="Arial" w:hAnsi="Arial" w:cs="Arial"/>
          <w:b/>
          <w:bCs/>
          <w:sz w:val="20"/>
          <w:szCs w:val="20"/>
        </w:rPr>
      </w:pPr>
      <w:r w:rsidRPr="003A2E01">
        <w:rPr>
          <w:rFonts w:ascii="Arial" w:hAnsi="Arial" w:cs="Arial"/>
          <w:b/>
          <w:bCs/>
          <w:sz w:val="20"/>
          <w:szCs w:val="20"/>
        </w:rPr>
        <w:t>Landesarbeitsgericht Köln</w:t>
      </w:r>
    </w:p>
    <w:p w:rsidR="000C4D69" w:rsidRPr="003A2E01" w:rsidRDefault="000C4D69" w:rsidP="000C4D69">
      <w:pPr>
        <w:spacing w:line="360" w:lineRule="auto"/>
        <w:jc w:val="center"/>
        <w:rPr>
          <w:rFonts w:ascii="Arial" w:hAnsi="Arial" w:cs="Arial"/>
          <w:sz w:val="20"/>
          <w:szCs w:val="20"/>
        </w:rPr>
      </w:pPr>
      <w:r w:rsidRPr="003A2E01">
        <w:rPr>
          <w:rFonts w:ascii="Arial" w:hAnsi="Arial" w:cs="Arial"/>
          <w:bCs/>
          <w:sz w:val="20"/>
          <w:szCs w:val="20"/>
        </w:rPr>
        <w:t>Urteil vom 5.10.2023, 6 Sa 152/22</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rPr>
        <w:t>Schmiergeld</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Leitsatz:</w:t>
      </w:r>
    </w:p>
    <w:p w:rsidR="000C4D69" w:rsidRPr="003A2E01" w:rsidRDefault="000C4D69" w:rsidP="000C4D69">
      <w:pPr>
        <w:spacing w:line="360" w:lineRule="auto"/>
        <w:jc w:val="both"/>
        <w:rPr>
          <w:rFonts w:ascii="Arial" w:hAnsi="Arial" w:cs="Arial"/>
          <w:sz w:val="20"/>
          <w:szCs w:val="20"/>
        </w:rPr>
      </w:pPr>
      <w:r w:rsidRPr="003A2E01">
        <w:rPr>
          <w:rFonts w:ascii="Arial" w:hAnsi="Arial" w:cs="Arial"/>
          <w:sz w:val="20"/>
          <w:szCs w:val="20"/>
        </w:rPr>
        <w:t>Steht nach Beweisaufnahme fest, dass der bis zuletzt bestreitende Arbeitnehmer Schmiergeld entgegengenommen hat und muss sodann der eingetretene Schaden geschätzt werden, so ist der zu schätzende Betrag nicht auf einen Mindestschaden begrenzt. Es gibt keinen Grund einen Schädiger auf diese Weise zu privilegieren, insbesondere den pflichtwidrig schweigenden Täter, der entgegen der Wahrheitspflicht aus § 138 Abs. 1 ZPO seine Täterschaft bestreitet.</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Siehe:</w:t>
      </w:r>
    </w:p>
    <w:p w:rsidR="000C4D69" w:rsidRPr="003A2E01" w:rsidRDefault="000C4D69" w:rsidP="000C4D69">
      <w:pPr>
        <w:spacing w:line="360" w:lineRule="auto"/>
        <w:jc w:val="both"/>
        <w:rPr>
          <w:rFonts w:ascii="Arial" w:hAnsi="Arial" w:cs="Arial"/>
          <w:sz w:val="20"/>
          <w:szCs w:val="20"/>
          <w:u w:val="single"/>
        </w:rPr>
      </w:pPr>
      <w:hyperlink r:id="rId16" w:tgtFrame="_blank" w:history="1">
        <w:r w:rsidRPr="003A2E01">
          <w:rPr>
            <w:rStyle w:val="Hyperlink"/>
            <w:rFonts w:ascii="Arial" w:hAnsi="Arial" w:cs="Arial"/>
            <w:sz w:val="20"/>
            <w:szCs w:val="20"/>
          </w:rPr>
          <w:t>https://www.justiz.nrw/nrwe/arbgs/koeln/lag_koeln/j2023/6_Sa_152_22_Urteil_20231005.html</w:t>
        </w:r>
      </w:hyperlink>
    </w:p>
    <w:p w:rsidR="000C4D69" w:rsidRPr="003A2E01" w:rsidRDefault="000C4D69" w:rsidP="000C4D69">
      <w:pPr>
        <w:spacing w:line="360" w:lineRule="auto"/>
        <w:jc w:val="both"/>
        <w:rPr>
          <w:rFonts w:ascii="Arial" w:hAnsi="Arial" w:cs="Arial"/>
          <w:sz w:val="20"/>
          <w:szCs w:val="20"/>
        </w:rPr>
      </w:pPr>
    </w:p>
    <w:p w:rsidR="000C4D69" w:rsidRPr="00F43103" w:rsidRDefault="000C4D69" w:rsidP="000C4D69">
      <w:pPr>
        <w:keepNext/>
        <w:spacing w:line="360" w:lineRule="auto"/>
        <w:jc w:val="center"/>
        <w:rPr>
          <w:rFonts w:ascii="Arial" w:hAnsi="Arial" w:cs="Arial"/>
          <w:b/>
          <w:sz w:val="20"/>
          <w:szCs w:val="20"/>
        </w:rPr>
      </w:pPr>
      <w:r w:rsidRPr="00F43103">
        <w:rPr>
          <w:rFonts w:ascii="Arial" w:hAnsi="Arial" w:cs="Arial"/>
          <w:b/>
          <w:sz w:val="20"/>
          <w:szCs w:val="20"/>
        </w:rPr>
        <w:t>IX.</w:t>
      </w:r>
    </w:p>
    <w:p w:rsidR="000C4D69" w:rsidRPr="003A2E01" w:rsidRDefault="000C4D69" w:rsidP="000C4D69">
      <w:pPr>
        <w:spacing w:line="360" w:lineRule="auto"/>
        <w:jc w:val="center"/>
        <w:rPr>
          <w:rFonts w:ascii="Arial" w:hAnsi="Arial" w:cs="Arial"/>
          <w:b/>
          <w:bCs/>
          <w:sz w:val="20"/>
          <w:szCs w:val="20"/>
        </w:rPr>
      </w:pPr>
      <w:r w:rsidRPr="003A2E01">
        <w:rPr>
          <w:rFonts w:ascii="Arial" w:hAnsi="Arial" w:cs="Arial"/>
          <w:b/>
          <w:bCs/>
          <w:sz w:val="20"/>
          <w:szCs w:val="20"/>
        </w:rPr>
        <w:t>Landesarbeitsgericht Köln</w:t>
      </w:r>
    </w:p>
    <w:p w:rsidR="000C4D69" w:rsidRPr="003A2E01" w:rsidRDefault="000C4D69" w:rsidP="000C4D69">
      <w:pPr>
        <w:spacing w:line="360" w:lineRule="auto"/>
        <w:jc w:val="center"/>
        <w:rPr>
          <w:rFonts w:ascii="Arial" w:hAnsi="Arial" w:cs="Arial"/>
          <w:sz w:val="20"/>
          <w:szCs w:val="20"/>
        </w:rPr>
      </w:pPr>
      <w:r w:rsidRPr="003A2E01">
        <w:rPr>
          <w:rFonts w:ascii="Arial" w:hAnsi="Arial" w:cs="Arial"/>
          <w:bCs/>
          <w:sz w:val="20"/>
          <w:szCs w:val="20"/>
        </w:rPr>
        <w:t>Urteil vom 10.10.2023, 4 Sa 22/23</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rPr>
        <w:t>fristlose Kündigung; Annahmeverzug; böswilliges Unterlassen anderweitigen Verdienstes; Schadensersatz; (</w:t>
      </w:r>
      <w:proofErr w:type="spellStart"/>
      <w:r w:rsidRPr="003A2E01">
        <w:rPr>
          <w:rFonts w:ascii="Arial" w:hAnsi="Arial" w:cs="Arial"/>
          <w:b/>
          <w:bCs/>
          <w:sz w:val="20"/>
          <w:szCs w:val="20"/>
        </w:rPr>
        <w:t>Un</w:t>
      </w:r>
      <w:proofErr w:type="spellEnd"/>
      <w:r w:rsidRPr="003A2E01">
        <w:rPr>
          <w:rFonts w:ascii="Arial" w:hAnsi="Arial" w:cs="Arial"/>
          <w:b/>
          <w:bCs/>
          <w:sz w:val="20"/>
          <w:szCs w:val="20"/>
        </w:rPr>
        <w:t>-)Zulässigkeit einer Teil-Gesamt-Klage; Versicherung an Eides statt</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Leitsatz:</w:t>
      </w:r>
    </w:p>
    <w:p w:rsidR="000C4D69" w:rsidRPr="003A2E01" w:rsidRDefault="000C4D69" w:rsidP="000C4D69">
      <w:pPr>
        <w:spacing w:line="360" w:lineRule="auto"/>
        <w:jc w:val="both"/>
        <w:rPr>
          <w:rFonts w:ascii="Arial" w:hAnsi="Arial" w:cs="Arial"/>
          <w:sz w:val="20"/>
          <w:szCs w:val="20"/>
        </w:rPr>
      </w:pPr>
      <w:r w:rsidRPr="003A2E01">
        <w:rPr>
          <w:rFonts w:ascii="Arial" w:hAnsi="Arial" w:cs="Arial"/>
          <w:sz w:val="20"/>
          <w:szCs w:val="20"/>
        </w:rPr>
        <w:t>Ohne das Hinzutreten besonderer Umstände ist nach Ausspruch einer fristlosen Arbeitgeberkündigung regelmäßig nicht anzunehmen, der Arbeitnehmer hätte es böswillig unterlassen, eine zumutbare Tätigkeit anzunehmen, wenn er binnen drei Monaten eine neue Stelle findet und antritt.</w:t>
      </w:r>
    </w:p>
    <w:p w:rsidR="000C4D69" w:rsidRPr="003A2E01" w:rsidRDefault="000C4D69" w:rsidP="000C4D69">
      <w:pPr>
        <w:spacing w:line="360" w:lineRule="auto"/>
        <w:jc w:val="both"/>
        <w:rPr>
          <w:rFonts w:ascii="Arial" w:hAnsi="Arial" w:cs="Arial"/>
          <w:sz w:val="20"/>
          <w:szCs w:val="20"/>
        </w:rPr>
      </w:pPr>
      <w:r w:rsidRPr="003A2E01">
        <w:rPr>
          <w:rFonts w:ascii="Arial" w:hAnsi="Arial" w:cs="Arial"/>
          <w:sz w:val="20"/>
          <w:szCs w:val="20"/>
        </w:rPr>
        <w:t>Einzelfallentscheidung zur Unwirksamkeit einer fristlosen Kündigung, zu Annahmeverzugslohn, Schadensersatz und eidesstattlicher Versicherung erteilter Auskünfte</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Siehe:</w:t>
      </w:r>
    </w:p>
    <w:p w:rsidR="000C4D69" w:rsidRPr="003A2E01" w:rsidRDefault="000C4D69" w:rsidP="000C4D69">
      <w:pPr>
        <w:spacing w:line="360" w:lineRule="auto"/>
        <w:jc w:val="both"/>
        <w:rPr>
          <w:rFonts w:ascii="Arial" w:hAnsi="Arial" w:cs="Arial"/>
          <w:sz w:val="20"/>
          <w:szCs w:val="20"/>
        </w:rPr>
      </w:pPr>
      <w:hyperlink r:id="rId17" w:tgtFrame="_blank" w:history="1">
        <w:r w:rsidRPr="003A2E01">
          <w:rPr>
            <w:rStyle w:val="Hyperlink"/>
            <w:rFonts w:ascii="Arial" w:hAnsi="Arial" w:cs="Arial"/>
            <w:sz w:val="20"/>
            <w:szCs w:val="20"/>
          </w:rPr>
          <w:t>https://www.justiz.nrw/nrwe/arbgs/koeln/lag_koeln/j2023/4_Sa_22_23_Urteil_20231010.html</w:t>
        </w:r>
      </w:hyperlink>
    </w:p>
    <w:p w:rsidR="000C4D69" w:rsidRPr="003A2E01" w:rsidRDefault="000C4D69" w:rsidP="000C4D69">
      <w:pPr>
        <w:spacing w:line="360" w:lineRule="auto"/>
        <w:jc w:val="both"/>
        <w:rPr>
          <w:rFonts w:ascii="Arial" w:hAnsi="Arial" w:cs="Arial"/>
          <w:sz w:val="20"/>
          <w:szCs w:val="20"/>
        </w:rPr>
      </w:pPr>
    </w:p>
    <w:p w:rsidR="000C4D69" w:rsidRPr="003A2E01" w:rsidRDefault="000C4D69" w:rsidP="000C4D69">
      <w:pPr>
        <w:keepNext/>
        <w:spacing w:line="360" w:lineRule="auto"/>
        <w:jc w:val="center"/>
        <w:rPr>
          <w:rFonts w:ascii="Arial" w:hAnsi="Arial" w:cs="Arial"/>
          <w:b/>
          <w:sz w:val="20"/>
          <w:szCs w:val="20"/>
        </w:rPr>
      </w:pPr>
      <w:r w:rsidRPr="003A2E01">
        <w:rPr>
          <w:rFonts w:ascii="Arial" w:hAnsi="Arial" w:cs="Arial"/>
          <w:b/>
          <w:sz w:val="20"/>
          <w:szCs w:val="20"/>
        </w:rPr>
        <w:t>X.</w:t>
      </w:r>
    </w:p>
    <w:p w:rsidR="000C4D69" w:rsidRPr="003A2E01" w:rsidRDefault="000C4D69" w:rsidP="000C4D69">
      <w:pPr>
        <w:spacing w:line="360" w:lineRule="auto"/>
        <w:jc w:val="center"/>
        <w:rPr>
          <w:rFonts w:ascii="Arial" w:hAnsi="Arial" w:cs="Arial"/>
          <w:b/>
          <w:bCs/>
          <w:sz w:val="20"/>
          <w:szCs w:val="20"/>
        </w:rPr>
      </w:pPr>
      <w:r w:rsidRPr="003A2E01">
        <w:rPr>
          <w:rFonts w:ascii="Arial" w:hAnsi="Arial" w:cs="Arial"/>
          <w:b/>
          <w:bCs/>
          <w:sz w:val="20"/>
          <w:szCs w:val="20"/>
        </w:rPr>
        <w:t>Landesarbeitsgericht Köln</w:t>
      </w:r>
    </w:p>
    <w:p w:rsidR="000C4D69" w:rsidRPr="003A2E01" w:rsidRDefault="000C4D69" w:rsidP="000C4D69">
      <w:pPr>
        <w:spacing w:line="360" w:lineRule="auto"/>
        <w:jc w:val="center"/>
        <w:rPr>
          <w:rFonts w:ascii="Arial" w:hAnsi="Arial" w:cs="Arial"/>
          <w:sz w:val="20"/>
          <w:szCs w:val="20"/>
        </w:rPr>
      </w:pPr>
      <w:r w:rsidRPr="003A2E01">
        <w:rPr>
          <w:rFonts w:ascii="Arial" w:hAnsi="Arial" w:cs="Arial"/>
          <w:bCs/>
          <w:sz w:val="20"/>
          <w:szCs w:val="20"/>
        </w:rPr>
        <w:t>Urteil vom 17.10.2023, 4 Sa 1/23</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rPr>
        <w:t>Annahmeverzug; Arbeitsunfähigkeit; leidensgerechte Beschäftigung; Schadensersatz wegen unterbliebener Ausübung des Direktionsrechts; tarifliche Vergütungssicherung</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Leitsatz:</w:t>
      </w:r>
    </w:p>
    <w:p w:rsidR="000C4D69" w:rsidRPr="003A2E01" w:rsidRDefault="000C4D69" w:rsidP="000C4D69">
      <w:pPr>
        <w:spacing w:line="360" w:lineRule="auto"/>
        <w:jc w:val="both"/>
        <w:rPr>
          <w:rFonts w:ascii="Arial" w:hAnsi="Arial" w:cs="Arial"/>
          <w:sz w:val="20"/>
          <w:szCs w:val="20"/>
        </w:rPr>
      </w:pPr>
      <w:r w:rsidRPr="003A2E01">
        <w:rPr>
          <w:rFonts w:ascii="Arial" w:hAnsi="Arial" w:cs="Arial"/>
          <w:sz w:val="20"/>
          <w:szCs w:val="20"/>
        </w:rPr>
        <w:t>Einzelfallentscheidung zur Vergütungspflicht von Zeiten unterbliebener Beschäftigung eines nicht schwerbehinderten Arbeitnehmers, der auf seinem ursprünglichen Arbeitsplatz krankheitsbedingt nicht sehr beschäftigt werden kann</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Siehe:</w:t>
      </w:r>
    </w:p>
    <w:p w:rsidR="000C4D69" w:rsidRPr="003A2E01" w:rsidRDefault="000C4D69" w:rsidP="000C4D69">
      <w:pPr>
        <w:spacing w:line="360" w:lineRule="auto"/>
        <w:jc w:val="both"/>
        <w:rPr>
          <w:rFonts w:ascii="Arial" w:hAnsi="Arial" w:cs="Arial"/>
          <w:sz w:val="20"/>
          <w:szCs w:val="20"/>
        </w:rPr>
      </w:pPr>
      <w:hyperlink r:id="rId18" w:tgtFrame="_blank" w:history="1">
        <w:r w:rsidRPr="003A2E01">
          <w:rPr>
            <w:rStyle w:val="Hyperlink"/>
            <w:rFonts w:ascii="Arial" w:hAnsi="Arial" w:cs="Arial"/>
            <w:sz w:val="20"/>
            <w:szCs w:val="20"/>
          </w:rPr>
          <w:t>https://www.justiz.nrw/nrwe/arbgs/koeln/lag_koeln/j2023/4_Sa_1_23_Urteil_20231017.html</w:t>
        </w:r>
      </w:hyperlink>
    </w:p>
    <w:p w:rsidR="000C4D69" w:rsidRDefault="000C4D69" w:rsidP="000C4D69">
      <w:pPr>
        <w:spacing w:line="360" w:lineRule="auto"/>
        <w:jc w:val="both"/>
        <w:rPr>
          <w:rFonts w:ascii="Arial" w:hAnsi="Arial" w:cs="Arial"/>
          <w:sz w:val="20"/>
          <w:szCs w:val="20"/>
        </w:rPr>
      </w:pPr>
      <w:r>
        <w:rPr>
          <w:rFonts w:ascii="Arial" w:hAnsi="Arial" w:cs="Arial"/>
          <w:sz w:val="20"/>
          <w:szCs w:val="20"/>
        </w:rPr>
        <w:br w:type="page"/>
      </w:r>
    </w:p>
    <w:p w:rsidR="000C4D69" w:rsidRPr="003A2E01" w:rsidRDefault="000C4D69" w:rsidP="000C4D69">
      <w:pPr>
        <w:spacing w:line="360" w:lineRule="auto"/>
        <w:jc w:val="both"/>
        <w:rPr>
          <w:rFonts w:ascii="Arial" w:hAnsi="Arial" w:cs="Arial"/>
          <w:sz w:val="20"/>
          <w:szCs w:val="20"/>
        </w:rPr>
      </w:pPr>
    </w:p>
    <w:p w:rsidR="000C4D69" w:rsidRPr="003A2E01" w:rsidRDefault="000C4D69" w:rsidP="000C4D69">
      <w:pPr>
        <w:keepNext/>
        <w:spacing w:line="360" w:lineRule="auto"/>
        <w:jc w:val="center"/>
        <w:rPr>
          <w:rFonts w:ascii="Arial" w:hAnsi="Arial" w:cs="Arial"/>
          <w:b/>
          <w:sz w:val="20"/>
          <w:szCs w:val="20"/>
        </w:rPr>
      </w:pPr>
      <w:r w:rsidRPr="003A2E01">
        <w:rPr>
          <w:rFonts w:ascii="Arial" w:hAnsi="Arial" w:cs="Arial"/>
          <w:b/>
          <w:sz w:val="20"/>
          <w:szCs w:val="20"/>
        </w:rPr>
        <w:t>XI.</w:t>
      </w:r>
    </w:p>
    <w:p w:rsidR="000C4D69" w:rsidRPr="003A2E01" w:rsidRDefault="000C4D69" w:rsidP="000C4D69">
      <w:pPr>
        <w:spacing w:line="360" w:lineRule="auto"/>
        <w:jc w:val="center"/>
        <w:rPr>
          <w:rFonts w:ascii="Arial" w:hAnsi="Arial" w:cs="Arial"/>
          <w:b/>
          <w:bCs/>
          <w:sz w:val="20"/>
          <w:szCs w:val="20"/>
        </w:rPr>
      </w:pPr>
      <w:r w:rsidRPr="003A2E01">
        <w:rPr>
          <w:rFonts w:ascii="Arial" w:hAnsi="Arial" w:cs="Arial"/>
          <w:b/>
          <w:bCs/>
          <w:sz w:val="20"/>
          <w:szCs w:val="20"/>
        </w:rPr>
        <w:t>Landesarbeitsgericht Niedersachsen</w:t>
      </w:r>
    </w:p>
    <w:p w:rsidR="000C4D69" w:rsidRPr="003A2E01" w:rsidRDefault="000C4D69" w:rsidP="000C4D69">
      <w:pPr>
        <w:spacing w:line="360" w:lineRule="auto"/>
        <w:jc w:val="center"/>
        <w:rPr>
          <w:rFonts w:ascii="Arial" w:hAnsi="Arial" w:cs="Arial"/>
          <w:sz w:val="20"/>
          <w:szCs w:val="20"/>
        </w:rPr>
      </w:pPr>
      <w:r w:rsidRPr="003A2E01">
        <w:rPr>
          <w:rFonts w:ascii="Arial" w:hAnsi="Arial" w:cs="Arial"/>
          <w:bCs/>
          <w:sz w:val="20"/>
          <w:szCs w:val="20"/>
        </w:rPr>
        <w:t xml:space="preserve">Beschl. v. 06.11.2023, Az.: 2 </w:t>
      </w:r>
      <w:proofErr w:type="spellStart"/>
      <w:r w:rsidRPr="003A2E01">
        <w:rPr>
          <w:rFonts w:ascii="Arial" w:hAnsi="Arial" w:cs="Arial"/>
          <w:bCs/>
          <w:sz w:val="20"/>
          <w:szCs w:val="20"/>
        </w:rPr>
        <w:t>Ta</w:t>
      </w:r>
      <w:proofErr w:type="spellEnd"/>
      <w:r w:rsidRPr="003A2E01">
        <w:rPr>
          <w:rFonts w:ascii="Arial" w:hAnsi="Arial" w:cs="Arial"/>
          <w:bCs/>
          <w:sz w:val="20"/>
          <w:szCs w:val="20"/>
        </w:rPr>
        <w:t xml:space="preserve"> 218/23</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rPr>
        <w:t>Urteilsverfahren; Vergütung eines Betriebsratsmitglieds; Zulässige Verfahrensart</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Leitsatz:</w:t>
      </w:r>
    </w:p>
    <w:p w:rsidR="000C4D69" w:rsidRPr="003A2E01" w:rsidRDefault="000C4D69" w:rsidP="000C4D69">
      <w:pPr>
        <w:spacing w:line="360" w:lineRule="auto"/>
        <w:jc w:val="both"/>
        <w:rPr>
          <w:rFonts w:ascii="Arial" w:hAnsi="Arial" w:cs="Arial"/>
          <w:sz w:val="20"/>
          <w:szCs w:val="20"/>
        </w:rPr>
      </w:pPr>
    </w:p>
    <w:p w:rsidR="000C4D69" w:rsidRPr="003A2E01" w:rsidRDefault="000C4D69" w:rsidP="000C4D69">
      <w:pPr>
        <w:pStyle w:val="Listenabsatz"/>
        <w:numPr>
          <w:ilvl w:val="0"/>
          <w:numId w:val="29"/>
        </w:numPr>
        <w:spacing w:line="360" w:lineRule="auto"/>
        <w:ind w:left="567" w:hanging="567"/>
        <w:jc w:val="both"/>
        <w:rPr>
          <w:rFonts w:ascii="Arial" w:hAnsi="Arial" w:cs="Arial"/>
          <w:sz w:val="20"/>
          <w:szCs w:val="20"/>
        </w:rPr>
      </w:pPr>
      <w:r w:rsidRPr="003A2E01">
        <w:rPr>
          <w:rFonts w:ascii="Arial" w:hAnsi="Arial" w:cs="Arial"/>
          <w:sz w:val="20"/>
          <w:szCs w:val="20"/>
        </w:rPr>
        <w:t xml:space="preserve">Die Verfahrensart, in der ein Rechtsstreit vor den Gerichten für Arbeitssachen zu entscheiden ist, bestimmt sich nach § 2 und § 2a ArbGG. In den in § 2 ArbGG geregelten Arbeitssachen findet das Urteilsverfahren statt (§ 2 Abs. 5 ArbGG), während über die in § 2a ArbGG genannten Arbeitssachen im Beschlussverfahren zu befinden ist (§ 2a Abs. 2 ArbGG). </w:t>
      </w:r>
    </w:p>
    <w:p w:rsidR="000C4D69" w:rsidRPr="003A2E01" w:rsidRDefault="000C4D69" w:rsidP="000C4D69">
      <w:pPr>
        <w:pStyle w:val="Listenabsatz"/>
        <w:numPr>
          <w:ilvl w:val="0"/>
          <w:numId w:val="29"/>
        </w:numPr>
        <w:spacing w:line="360" w:lineRule="auto"/>
        <w:ind w:left="567" w:hanging="567"/>
        <w:jc w:val="both"/>
        <w:rPr>
          <w:rFonts w:ascii="Arial" w:hAnsi="Arial" w:cs="Arial"/>
          <w:sz w:val="20"/>
          <w:szCs w:val="20"/>
        </w:rPr>
      </w:pPr>
      <w:r w:rsidRPr="003A2E01">
        <w:rPr>
          <w:rFonts w:ascii="Arial" w:hAnsi="Arial" w:cs="Arial"/>
          <w:sz w:val="20"/>
          <w:szCs w:val="20"/>
        </w:rPr>
        <w:t>Maßgebend für die Bestimmung der zutreffenden Verfahrensart ist der Streitgegenstand. Vom Streitgegenstand werden alle materiell-rechtlichen Ansprüche erfasst, die sich im Rahmen des gestellten Antrags aus dem zur Entscheidung unterbreiteten Lebenssachverhalt herleiten lassen</w:t>
      </w:r>
    </w:p>
    <w:p w:rsidR="000C4D69" w:rsidRPr="003A2E01" w:rsidRDefault="000C4D69" w:rsidP="000C4D69">
      <w:pPr>
        <w:spacing w:line="360" w:lineRule="auto"/>
        <w:jc w:val="both"/>
        <w:rPr>
          <w:rFonts w:ascii="Arial" w:hAnsi="Arial" w:cs="Arial"/>
          <w:sz w:val="20"/>
          <w:szCs w:val="20"/>
        </w:rPr>
      </w:pPr>
      <w:r w:rsidRPr="003A2E01">
        <w:rPr>
          <w:rFonts w:ascii="Arial" w:hAnsi="Arial" w:cs="Arial"/>
          <w:b/>
          <w:bCs/>
          <w:sz w:val="20"/>
          <w:szCs w:val="20"/>
          <w:u w:val="single"/>
        </w:rPr>
        <w:t>Siehe:</w:t>
      </w:r>
    </w:p>
    <w:p w:rsidR="000C4D69" w:rsidRPr="003A2E01" w:rsidRDefault="000C4D69" w:rsidP="000C4D69">
      <w:pPr>
        <w:spacing w:line="360" w:lineRule="auto"/>
        <w:jc w:val="both"/>
        <w:rPr>
          <w:rFonts w:ascii="Arial" w:hAnsi="Arial" w:cs="Arial"/>
          <w:sz w:val="20"/>
          <w:szCs w:val="20"/>
        </w:rPr>
      </w:pPr>
      <w:hyperlink r:id="rId19" w:tgtFrame="_blank" w:history="1">
        <w:r w:rsidRPr="003A2E01">
          <w:rPr>
            <w:rStyle w:val="Hyperlink"/>
            <w:rFonts w:ascii="Arial" w:hAnsi="Arial" w:cs="Arial"/>
            <w:sz w:val="20"/>
            <w:szCs w:val="20"/>
          </w:rPr>
          <w:t>https://voris.wolterskluwer-online.de/browse/document/385ff97c-3ae9-49ab-bb36-44d914158eeb</w:t>
        </w:r>
      </w:hyperlink>
      <w:r w:rsidRPr="003A2E01">
        <w:rPr>
          <w:rFonts w:ascii="Arial" w:hAnsi="Arial" w:cs="Arial"/>
          <w:sz w:val="20"/>
          <w:szCs w:val="20"/>
          <w:u w:val="single"/>
        </w:rPr>
        <w:t xml:space="preserve"> </w:t>
      </w:r>
    </w:p>
    <w:p w:rsidR="000C4D69" w:rsidRPr="00927C51" w:rsidRDefault="000C4D69" w:rsidP="000C4D69">
      <w:pPr>
        <w:spacing w:line="360" w:lineRule="auto"/>
        <w:rPr>
          <w:rFonts w:ascii="Arial" w:hAnsi="Arial" w:cs="Arial"/>
          <w:b/>
          <w:bCs/>
          <w:sz w:val="20"/>
          <w:szCs w:val="20"/>
          <w:lang w:eastAsia="de-DE"/>
        </w:rPr>
      </w:pPr>
    </w:p>
    <w:p w:rsidR="000C4D69" w:rsidRPr="007E4D43" w:rsidRDefault="000C4D69" w:rsidP="000C4D69">
      <w:pPr>
        <w:spacing w:line="360" w:lineRule="auto"/>
        <w:rPr>
          <w:rFonts w:ascii="Arial" w:hAnsi="Arial" w:cs="Arial"/>
          <w:sz w:val="20"/>
          <w:szCs w:val="20"/>
        </w:rPr>
      </w:pPr>
      <w:r w:rsidRPr="007E4D43">
        <w:rPr>
          <w:rFonts w:ascii="Arial" w:hAnsi="Arial" w:cs="Arial"/>
          <w:sz w:val="20"/>
          <w:szCs w:val="20"/>
        </w:rPr>
        <w:t>Mit besten Grüßen</w:t>
      </w:r>
    </w:p>
    <w:p w:rsidR="000C4D69" w:rsidRPr="007E4D43" w:rsidRDefault="000C4D69" w:rsidP="000C4D69">
      <w:pPr>
        <w:spacing w:line="360" w:lineRule="auto"/>
        <w:rPr>
          <w:rFonts w:ascii="Arial" w:hAnsi="Arial" w:cs="Arial"/>
          <w:sz w:val="20"/>
          <w:szCs w:val="20"/>
        </w:rPr>
      </w:pPr>
      <w:r w:rsidRPr="007E4D43">
        <w:rPr>
          <w:rFonts w:ascii="Arial" w:hAnsi="Arial" w:cs="Arial"/>
          <w:sz w:val="20"/>
          <w:szCs w:val="20"/>
        </w:rPr>
        <w:t>Ihr</w:t>
      </w:r>
    </w:p>
    <w:p w:rsidR="000C4D69" w:rsidRPr="007E4D43" w:rsidRDefault="000C4D69" w:rsidP="000C4D69">
      <w:pPr>
        <w:spacing w:line="360" w:lineRule="auto"/>
        <w:rPr>
          <w:rFonts w:ascii="Arial" w:hAnsi="Arial" w:cs="Arial"/>
          <w:sz w:val="20"/>
          <w:szCs w:val="20"/>
        </w:rPr>
      </w:pPr>
    </w:p>
    <w:p w:rsidR="000C4D69" w:rsidRPr="007E4D43" w:rsidRDefault="000C4D69" w:rsidP="000C4D69">
      <w:pPr>
        <w:rPr>
          <w:rFonts w:ascii="Arial" w:hAnsi="Arial" w:cs="Arial"/>
          <w:sz w:val="20"/>
          <w:szCs w:val="20"/>
        </w:rPr>
      </w:pPr>
      <w:r w:rsidRPr="007E4D43">
        <w:rPr>
          <w:rFonts w:ascii="Arial" w:hAnsi="Arial" w:cs="Arial"/>
          <w:sz w:val="20"/>
          <w:szCs w:val="20"/>
        </w:rPr>
        <w:t>Michael Henn</w:t>
      </w:r>
    </w:p>
    <w:p w:rsidR="000C4D69" w:rsidRPr="007E4D43" w:rsidRDefault="000C4D69" w:rsidP="000C4D69">
      <w:pPr>
        <w:rPr>
          <w:rFonts w:ascii="Arial" w:hAnsi="Arial" w:cs="Arial"/>
          <w:sz w:val="20"/>
          <w:szCs w:val="20"/>
        </w:rPr>
      </w:pPr>
      <w:r w:rsidRPr="007E4D43">
        <w:rPr>
          <w:rFonts w:ascii="Arial" w:hAnsi="Arial" w:cs="Arial"/>
          <w:sz w:val="20"/>
          <w:szCs w:val="20"/>
        </w:rPr>
        <w:t>Rechtsanwalt</w:t>
      </w:r>
    </w:p>
    <w:p w:rsidR="000C4D69" w:rsidRPr="007E4D43" w:rsidRDefault="000C4D69" w:rsidP="000C4D69">
      <w:pPr>
        <w:rPr>
          <w:rFonts w:ascii="Arial" w:hAnsi="Arial" w:cs="Arial"/>
          <w:sz w:val="20"/>
          <w:szCs w:val="20"/>
        </w:rPr>
      </w:pPr>
      <w:r w:rsidRPr="007E4D43">
        <w:rPr>
          <w:rFonts w:ascii="Arial" w:hAnsi="Arial" w:cs="Arial"/>
          <w:sz w:val="20"/>
          <w:szCs w:val="20"/>
        </w:rPr>
        <w:t>Fachanwalt für Erbrecht</w:t>
      </w:r>
    </w:p>
    <w:p w:rsidR="000C4D69" w:rsidRPr="007E4D43" w:rsidRDefault="000C4D69" w:rsidP="000C4D69">
      <w:pPr>
        <w:rPr>
          <w:rFonts w:ascii="Arial" w:hAnsi="Arial" w:cs="Arial"/>
          <w:sz w:val="20"/>
          <w:szCs w:val="20"/>
        </w:rPr>
      </w:pPr>
      <w:r w:rsidRPr="007E4D43">
        <w:rPr>
          <w:rFonts w:ascii="Arial" w:hAnsi="Arial" w:cs="Arial"/>
          <w:sz w:val="20"/>
          <w:szCs w:val="20"/>
        </w:rPr>
        <w:t>Fachanwalt für Arbeitsrecht</w:t>
      </w:r>
    </w:p>
    <w:p w:rsidR="000C4D69" w:rsidRPr="007E4D43" w:rsidRDefault="000C4D69" w:rsidP="000C4D69">
      <w:pPr>
        <w:rPr>
          <w:rFonts w:ascii="Arial" w:hAnsi="Arial" w:cs="Arial"/>
          <w:sz w:val="20"/>
          <w:szCs w:val="20"/>
        </w:rPr>
      </w:pPr>
      <w:r w:rsidRPr="007E4D43">
        <w:rPr>
          <w:rFonts w:ascii="Arial" w:hAnsi="Arial" w:cs="Arial"/>
          <w:sz w:val="20"/>
          <w:szCs w:val="20"/>
        </w:rPr>
        <w:t>VDAA – Präsident</w:t>
      </w:r>
    </w:p>
    <w:p w:rsidR="000C4D69" w:rsidRPr="007E4D43" w:rsidRDefault="000C4D69" w:rsidP="000C4D69">
      <w:pPr>
        <w:rPr>
          <w:rFonts w:ascii="Arial" w:hAnsi="Arial" w:cs="Arial"/>
          <w:sz w:val="20"/>
          <w:szCs w:val="20"/>
        </w:rPr>
      </w:pPr>
    </w:p>
    <w:p w:rsidR="000C4D69" w:rsidRPr="007E4D43" w:rsidRDefault="000C4D69" w:rsidP="000C4D69">
      <w:pPr>
        <w:rPr>
          <w:rFonts w:ascii="Arial" w:eastAsia="Times New Roman" w:hAnsi="Arial" w:cs="Arial"/>
          <w:b/>
          <w:bCs/>
          <w:sz w:val="20"/>
          <w:szCs w:val="20"/>
          <w:lang w:eastAsia="de-DE"/>
        </w:rPr>
      </w:pPr>
      <w:r w:rsidRPr="007E4D43">
        <w:rPr>
          <w:rFonts w:ascii="Arial" w:eastAsia="Times New Roman" w:hAnsi="Arial" w:cs="Arial"/>
          <w:b/>
          <w:bCs/>
          <w:sz w:val="20"/>
          <w:szCs w:val="20"/>
          <w:lang w:eastAsia="de-DE"/>
        </w:rPr>
        <w:t>VDAA - Verband deutscher ArbeitsrechtsAnwälte e.V.</w:t>
      </w:r>
    </w:p>
    <w:p w:rsidR="000C4D69" w:rsidRPr="007E4D43" w:rsidRDefault="000C4D69" w:rsidP="000C4D69">
      <w:pPr>
        <w:rPr>
          <w:rFonts w:ascii="Arial" w:eastAsia="Times New Roman" w:hAnsi="Arial" w:cs="Arial"/>
          <w:b/>
          <w:bCs/>
          <w:sz w:val="20"/>
          <w:szCs w:val="20"/>
          <w:lang w:eastAsia="de-DE"/>
        </w:rPr>
      </w:pPr>
      <w:proofErr w:type="spellStart"/>
      <w:r w:rsidRPr="007E4D43">
        <w:rPr>
          <w:rFonts w:ascii="Arial" w:eastAsia="Times New Roman" w:hAnsi="Arial" w:cs="Arial"/>
          <w:b/>
          <w:bCs/>
          <w:sz w:val="20"/>
          <w:szCs w:val="20"/>
          <w:lang w:eastAsia="de-DE"/>
        </w:rPr>
        <w:t>Gerokstr</w:t>
      </w:r>
      <w:proofErr w:type="spellEnd"/>
      <w:r w:rsidRPr="007E4D43">
        <w:rPr>
          <w:rFonts w:ascii="Arial" w:eastAsia="Times New Roman" w:hAnsi="Arial" w:cs="Arial"/>
          <w:b/>
          <w:bCs/>
          <w:sz w:val="20"/>
          <w:szCs w:val="20"/>
          <w:lang w:eastAsia="de-DE"/>
        </w:rPr>
        <w:t>. 8</w:t>
      </w:r>
    </w:p>
    <w:p w:rsidR="000C4D69" w:rsidRPr="007E4D43" w:rsidRDefault="000C4D69" w:rsidP="000C4D69">
      <w:pPr>
        <w:rPr>
          <w:rFonts w:ascii="Arial" w:eastAsia="Times New Roman" w:hAnsi="Arial" w:cs="Arial"/>
          <w:b/>
          <w:bCs/>
          <w:sz w:val="20"/>
          <w:szCs w:val="20"/>
          <w:lang w:eastAsia="de-DE"/>
        </w:rPr>
      </w:pPr>
      <w:r w:rsidRPr="007E4D43">
        <w:rPr>
          <w:rFonts w:ascii="Arial" w:eastAsia="Times New Roman" w:hAnsi="Arial" w:cs="Arial"/>
          <w:b/>
          <w:bCs/>
          <w:sz w:val="20"/>
          <w:szCs w:val="20"/>
          <w:lang w:eastAsia="de-DE"/>
        </w:rPr>
        <w:t>70188 Stuttgart</w:t>
      </w:r>
    </w:p>
    <w:p w:rsidR="000C4D69" w:rsidRDefault="000C4D69" w:rsidP="000C4D69">
      <w:pPr>
        <w:tabs>
          <w:tab w:val="left" w:pos="2835"/>
        </w:tabs>
        <w:rPr>
          <w:rFonts w:ascii="Arial" w:eastAsia="Times New Roman" w:hAnsi="Arial" w:cs="Arial"/>
          <w:b/>
          <w:bCs/>
          <w:sz w:val="20"/>
          <w:szCs w:val="20"/>
          <w:lang w:eastAsia="de-DE"/>
        </w:rPr>
      </w:pPr>
      <w:r w:rsidRPr="007E4D43">
        <w:rPr>
          <w:rFonts w:ascii="Arial" w:eastAsia="Times New Roman" w:hAnsi="Arial" w:cs="Arial"/>
          <w:b/>
          <w:bCs/>
          <w:sz w:val="20"/>
          <w:szCs w:val="20"/>
          <w:lang w:eastAsia="de-DE"/>
        </w:rPr>
        <w:t>Telefon: (0711) 3058 9320</w:t>
      </w:r>
    </w:p>
    <w:p w:rsidR="000C4D69" w:rsidRPr="007E4D43" w:rsidRDefault="000C4D69" w:rsidP="000C4D69">
      <w:pPr>
        <w:tabs>
          <w:tab w:val="left" w:pos="2835"/>
        </w:tabs>
        <w:rPr>
          <w:rFonts w:ascii="Arial" w:eastAsia="Times New Roman" w:hAnsi="Arial" w:cs="Arial"/>
          <w:sz w:val="20"/>
          <w:szCs w:val="20"/>
        </w:rPr>
      </w:pPr>
      <w:r w:rsidRPr="007E4D43">
        <w:rPr>
          <w:rFonts w:ascii="Arial" w:eastAsia="Times New Roman" w:hAnsi="Arial" w:cs="Arial"/>
          <w:b/>
          <w:bCs/>
          <w:sz w:val="20"/>
          <w:szCs w:val="20"/>
          <w:lang w:eastAsia="de-DE"/>
        </w:rPr>
        <w:t>Telefax: (0711) 3058 9311</w:t>
      </w:r>
    </w:p>
    <w:p w:rsidR="000C4D69" w:rsidRDefault="000C4D69" w:rsidP="000C4D69">
      <w:pPr>
        <w:tabs>
          <w:tab w:val="left" w:pos="2835"/>
        </w:tabs>
        <w:rPr>
          <w:rFonts w:ascii="Arial" w:eastAsia="Times New Roman" w:hAnsi="Arial" w:cs="Arial"/>
          <w:b/>
          <w:bCs/>
          <w:sz w:val="20"/>
          <w:szCs w:val="20"/>
          <w:u w:val="single"/>
          <w:lang w:eastAsia="de-DE"/>
        </w:rPr>
      </w:pPr>
      <w:r w:rsidRPr="007E4D43">
        <w:rPr>
          <w:rFonts w:ascii="Arial" w:eastAsia="Times New Roman" w:hAnsi="Arial" w:cs="Arial"/>
          <w:b/>
          <w:bCs/>
          <w:sz w:val="20"/>
          <w:szCs w:val="20"/>
          <w:lang w:eastAsia="de-DE"/>
        </w:rPr>
        <w:t xml:space="preserve">Email: </w:t>
      </w:r>
      <w:hyperlink r:id="rId20" w:history="1">
        <w:r w:rsidRPr="007E4D43">
          <w:rPr>
            <w:rFonts w:ascii="Arial" w:eastAsia="Times New Roman" w:hAnsi="Arial" w:cs="Arial"/>
            <w:b/>
            <w:bCs/>
            <w:sz w:val="20"/>
            <w:szCs w:val="20"/>
            <w:u w:val="single"/>
            <w:lang w:eastAsia="de-DE"/>
          </w:rPr>
          <w:t>info@vdaa.de</w:t>
        </w:r>
      </w:hyperlink>
    </w:p>
    <w:p w:rsidR="000C4D69" w:rsidRDefault="000C4D69" w:rsidP="000C4D69">
      <w:pPr>
        <w:tabs>
          <w:tab w:val="left" w:pos="2835"/>
        </w:tabs>
        <w:rPr>
          <w:rFonts w:ascii="Arial" w:eastAsia="Times New Roman" w:hAnsi="Arial" w:cs="Arial"/>
          <w:b/>
          <w:bCs/>
          <w:sz w:val="20"/>
          <w:szCs w:val="20"/>
          <w:u w:val="single"/>
          <w:lang w:eastAsia="de-DE"/>
        </w:rPr>
      </w:pPr>
      <w:hyperlink r:id="rId21" w:history="1">
        <w:r w:rsidRPr="007E4D43">
          <w:rPr>
            <w:rFonts w:ascii="Arial" w:eastAsia="Times New Roman" w:hAnsi="Arial" w:cs="Arial"/>
            <w:b/>
            <w:bCs/>
            <w:sz w:val="20"/>
            <w:szCs w:val="20"/>
            <w:u w:val="single"/>
            <w:lang w:eastAsia="de-DE"/>
          </w:rPr>
          <w:t>www.vdaa.de</w:t>
        </w:r>
      </w:hyperlink>
    </w:p>
    <w:p w:rsidR="000C4D69" w:rsidRPr="007E4D43" w:rsidRDefault="000C4D69" w:rsidP="00AC6C35">
      <w:pPr>
        <w:jc w:val="center"/>
        <w:rPr>
          <w:rFonts w:ascii="Arial" w:hAnsi="Arial" w:cs="Arial"/>
          <w:sz w:val="20"/>
          <w:szCs w:val="20"/>
        </w:rPr>
      </w:pPr>
      <w:bookmarkStart w:id="2" w:name="_GoBack"/>
      <w:bookmarkEnd w:id="2"/>
    </w:p>
    <w:sectPr w:rsidR="000C4D69" w:rsidRPr="007E4D43">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FDA" w:rsidRDefault="00A00FDA" w:rsidP="009A56DF">
      <w:r>
        <w:separator/>
      </w:r>
    </w:p>
  </w:endnote>
  <w:endnote w:type="continuationSeparator" w:id="0">
    <w:p w:rsidR="00A00FDA" w:rsidRDefault="00A00FDA"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731566"/>
      <w:docPartObj>
        <w:docPartGallery w:val="Page Numbers (Bottom of Page)"/>
        <w:docPartUnique/>
      </w:docPartObj>
    </w:sdtPr>
    <w:sdtEndPr/>
    <w:sdtContent>
      <w:p w:rsidR="00F40A47" w:rsidRDefault="00F40A47">
        <w:pPr>
          <w:pStyle w:val="Fuzeile"/>
          <w:jc w:val="center"/>
        </w:pPr>
        <w:r>
          <w:rPr>
            <w:noProof/>
            <w:lang w:eastAsia="de-DE"/>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F40A47" w:rsidRDefault="00F40A47">
        <w:pPr>
          <w:pStyle w:val="Fuzeile"/>
          <w:jc w:val="center"/>
        </w:pPr>
        <w:r>
          <w:fldChar w:fldCharType="begin"/>
        </w:r>
        <w:r>
          <w:instrText>PAGE    \* MERGEFORMAT</w:instrText>
        </w:r>
        <w:r>
          <w:fldChar w:fldCharType="separate"/>
        </w:r>
        <w:r w:rsidR="000C4D69">
          <w:rPr>
            <w:noProof/>
          </w:rPr>
          <w:t>5</w:t>
        </w:r>
        <w:r>
          <w:fldChar w:fldCharType="end"/>
        </w:r>
      </w:p>
    </w:sdtContent>
  </w:sdt>
  <w:p w:rsidR="00F40A47" w:rsidRDefault="00F40A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FDA" w:rsidRDefault="00A00FDA" w:rsidP="009A56DF">
      <w:r>
        <w:separator/>
      </w:r>
    </w:p>
  </w:footnote>
  <w:footnote w:type="continuationSeparator" w:id="0">
    <w:p w:rsidR="00A00FDA" w:rsidRDefault="00A00FDA" w:rsidP="009A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DF" w:rsidRPr="009A56DF" w:rsidRDefault="00DE27FF" w:rsidP="009A56DF">
    <w:pPr>
      <w:tabs>
        <w:tab w:val="center" w:pos="4536"/>
        <w:tab w:val="left" w:pos="7764"/>
        <w:tab w:val="right" w:pos="9071"/>
      </w:tabs>
      <w:spacing w:line="360" w:lineRule="auto"/>
      <w:jc w:val="center"/>
      <w:rPr>
        <w:rFonts w:ascii="Arial" w:hAnsi="Arial" w:cs="Arial"/>
        <w:b/>
        <w:bCs/>
        <w:sz w:val="28"/>
        <w:szCs w:val="28"/>
        <w:lang w:eastAsia="de-DE"/>
      </w:rPr>
    </w:pPr>
    <w:r>
      <w:rPr>
        <w:rFonts w:ascii="Arial" w:hAnsi="Arial" w:cs="Arial"/>
        <w:b/>
        <w:bCs/>
        <w:sz w:val="28"/>
        <w:szCs w:val="28"/>
        <w:lang w:eastAsia="de-DE"/>
      </w:rPr>
      <w:t>VDAA- Arbeitsrechts</w:t>
    </w:r>
    <w:r w:rsidR="009A56DF" w:rsidRPr="009A56DF">
      <w:rPr>
        <w:rFonts w:ascii="Arial" w:hAnsi="Arial" w:cs="Arial"/>
        <w:b/>
        <w:bCs/>
        <w:sz w:val="28"/>
        <w:szCs w:val="28"/>
        <w:lang w:eastAsia="de-DE"/>
      </w:rPr>
      <w:t xml:space="preserve">depesche </w:t>
    </w:r>
    <w:r w:rsidR="002F35FD">
      <w:rPr>
        <w:rFonts w:ascii="Arial" w:hAnsi="Arial" w:cs="Arial"/>
        <w:b/>
        <w:bCs/>
        <w:sz w:val="28"/>
        <w:szCs w:val="28"/>
        <w:lang w:eastAsia="de-DE"/>
      </w:rPr>
      <w:t>1</w:t>
    </w:r>
    <w:r w:rsidR="000C4D69">
      <w:rPr>
        <w:rFonts w:ascii="Arial" w:hAnsi="Arial" w:cs="Arial"/>
        <w:b/>
        <w:bCs/>
        <w:sz w:val="28"/>
        <w:szCs w:val="28"/>
        <w:lang w:eastAsia="de-DE"/>
      </w:rPr>
      <w:t>1</w:t>
    </w:r>
    <w:r w:rsidR="007151A1">
      <w:rPr>
        <w:rFonts w:ascii="Arial" w:hAnsi="Arial" w:cs="Arial"/>
        <w:b/>
        <w:bCs/>
        <w:sz w:val="28"/>
        <w:szCs w:val="28"/>
        <w:lang w:eastAsia="de-DE"/>
      </w:rPr>
      <w:t>-</w:t>
    </w:r>
    <w:r w:rsidR="009A56DF" w:rsidRPr="009A56DF">
      <w:rPr>
        <w:rFonts w:ascii="Arial" w:hAnsi="Arial" w:cs="Arial"/>
        <w:b/>
        <w:bCs/>
        <w:sz w:val="28"/>
        <w:szCs w:val="28"/>
        <w:lang w:eastAsia="de-DE"/>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6C4"/>
    <w:multiLevelType w:val="hybridMultilevel"/>
    <w:tmpl w:val="BB2291D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EB3FEE"/>
    <w:multiLevelType w:val="hybridMultilevel"/>
    <w:tmpl w:val="7EC858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1A6C54"/>
    <w:multiLevelType w:val="hybridMultilevel"/>
    <w:tmpl w:val="A42A6C88"/>
    <w:lvl w:ilvl="0" w:tplc="4D8454E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E90C3C"/>
    <w:multiLevelType w:val="hybridMultilevel"/>
    <w:tmpl w:val="DA162C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6F204C"/>
    <w:multiLevelType w:val="hybridMultilevel"/>
    <w:tmpl w:val="4DF05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4F58A9"/>
    <w:multiLevelType w:val="hybridMultilevel"/>
    <w:tmpl w:val="193084BE"/>
    <w:lvl w:ilvl="0" w:tplc="05D8B0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1C1374"/>
    <w:multiLevelType w:val="hybridMultilevel"/>
    <w:tmpl w:val="998C00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435703"/>
    <w:multiLevelType w:val="multilevel"/>
    <w:tmpl w:val="A912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5467F"/>
    <w:multiLevelType w:val="hybridMultilevel"/>
    <w:tmpl w:val="86BA013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1454F74"/>
    <w:multiLevelType w:val="hybridMultilevel"/>
    <w:tmpl w:val="9E300982"/>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7851673"/>
    <w:multiLevelType w:val="hybridMultilevel"/>
    <w:tmpl w:val="CAA6EA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84566B"/>
    <w:multiLevelType w:val="hybridMultilevel"/>
    <w:tmpl w:val="F0B4A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4A3F48"/>
    <w:multiLevelType w:val="multilevel"/>
    <w:tmpl w:val="BC8A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7A20F9"/>
    <w:multiLevelType w:val="multilevel"/>
    <w:tmpl w:val="6E24C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71C33E6"/>
    <w:multiLevelType w:val="hybridMultilevel"/>
    <w:tmpl w:val="74AEC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15056C"/>
    <w:multiLevelType w:val="hybridMultilevel"/>
    <w:tmpl w:val="F1A29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EB7027E"/>
    <w:multiLevelType w:val="hybridMultilevel"/>
    <w:tmpl w:val="30E428B0"/>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55E16835"/>
    <w:multiLevelType w:val="multilevel"/>
    <w:tmpl w:val="0F7EC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15:restartNumberingAfterBreak="0">
    <w:nsid w:val="59073558"/>
    <w:multiLevelType w:val="multilevel"/>
    <w:tmpl w:val="5F70E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42E1791"/>
    <w:multiLevelType w:val="multilevel"/>
    <w:tmpl w:val="AC0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6A77D2"/>
    <w:multiLevelType w:val="multilevel"/>
    <w:tmpl w:val="0E843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FF508D"/>
    <w:multiLevelType w:val="multilevel"/>
    <w:tmpl w:val="FB208A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793B4D"/>
    <w:multiLevelType w:val="hybridMultilevel"/>
    <w:tmpl w:val="331E7E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142C8A"/>
    <w:multiLevelType w:val="multilevel"/>
    <w:tmpl w:val="F17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1B34D8"/>
    <w:multiLevelType w:val="hybridMultilevel"/>
    <w:tmpl w:val="A78C5006"/>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D81172F"/>
    <w:multiLevelType w:val="hybridMultilevel"/>
    <w:tmpl w:val="35C65C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E054891"/>
    <w:multiLevelType w:val="hybridMultilevel"/>
    <w:tmpl w:val="F7AC3EB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F901875"/>
    <w:multiLevelType w:val="multilevel"/>
    <w:tmpl w:val="E1FE6D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18"/>
  </w:num>
  <w:num w:numId="10">
    <w:abstractNumId w:val="5"/>
  </w:num>
  <w:num w:numId="11">
    <w:abstractNumId w:val="10"/>
  </w:num>
  <w:num w:numId="12">
    <w:abstractNumId w:val="25"/>
  </w:num>
  <w:num w:numId="13">
    <w:abstractNumId w:val="27"/>
  </w:num>
  <w:num w:numId="14">
    <w:abstractNumId w:val="9"/>
  </w:num>
  <w:num w:numId="15">
    <w:abstractNumId w:val="6"/>
  </w:num>
  <w:num w:numId="16">
    <w:abstractNumId w:val="8"/>
  </w:num>
  <w:num w:numId="17">
    <w:abstractNumId w:val="0"/>
  </w:num>
  <w:num w:numId="18">
    <w:abstractNumId w:val="24"/>
  </w:num>
  <w:num w:numId="19">
    <w:abstractNumId w:val="7"/>
  </w:num>
  <w:num w:numId="20">
    <w:abstractNumId w:val="20"/>
  </w:num>
  <w:num w:numId="21">
    <w:abstractNumId w:val="12"/>
  </w:num>
  <w:num w:numId="22">
    <w:abstractNumId w:val="17"/>
  </w:num>
  <w:num w:numId="23">
    <w:abstractNumId w:val="22"/>
  </w:num>
  <w:num w:numId="24">
    <w:abstractNumId w:val="21"/>
  </w:num>
  <w:num w:numId="25">
    <w:abstractNumId w:val="28"/>
  </w:num>
  <w:num w:numId="26">
    <w:abstractNumId w:val="2"/>
  </w:num>
  <w:num w:numId="27">
    <w:abstractNumId w:val="23"/>
  </w:num>
  <w:num w:numId="28">
    <w:abstractNumId w:val="3"/>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DF"/>
    <w:rsid w:val="000A5F31"/>
    <w:rsid w:val="000C4D69"/>
    <w:rsid w:val="001A2B37"/>
    <w:rsid w:val="002201C4"/>
    <w:rsid w:val="00281C35"/>
    <w:rsid w:val="002F35FD"/>
    <w:rsid w:val="00352647"/>
    <w:rsid w:val="00387D57"/>
    <w:rsid w:val="003D4C05"/>
    <w:rsid w:val="00462790"/>
    <w:rsid w:val="004C74E4"/>
    <w:rsid w:val="006B07C3"/>
    <w:rsid w:val="006E52CE"/>
    <w:rsid w:val="007151A1"/>
    <w:rsid w:val="00765DBE"/>
    <w:rsid w:val="00794690"/>
    <w:rsid w:val="007B4929"/>
    <w:rsid w:val="007E4D43"/>
    <w:rsid w:val="00891FB9"/>
    <w:rsid w:val="008D41DE"/>
    <w:rsid w:val="008F7B68"/>
    <w:rsid w:val="00927C51"/>
    <w:rsid w:val="009A0119"/>
    <w:rsid w:val="009A56DF"/>
    <w:rsid w:val="009E07A0"/>
    <w:rsid w:val="00A00FDA"/>
    <w:rsid w:val="00AC6C35"/>
    <w:rsid w:val="00AF322A"/>
    <w:rsid w:val="00B816EE"/>
    <w:rsid w:val="00CC485E"/>
    <w:rsid w:val="00DE27FF"/>
    <w:rsid w:val="00E513FE"/>
    <w:rsid w:val="00ED7F24"/>
    <w:rsid w:val="00EE633C"/>
    <w:rsid w:val="00F40A47"/>
    <w:rsid w:val="00F60654"/>
    <w:rsid w:val="00FE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 w:type="character" w:customStyle="1" w:styleId="UnresolvedMention">
    <w:name w:val="Unresolved Mention"/>
    <w:basedOn w:val="Absatz-Standardschriftart"/>
    <w:uiPriority w:val="99"/>
    <w:semiHidden/>
    <w:unhideWhenUsed/>
    <w:rsid w:val="00281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897425309">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desrecht-mv.de/bsmv/document/JURE230056488/format/xsl/part/L/anchor/rd_33?oi=KW9H6nPK2W&amp;sourceP=%7B%22source%22%3A%22SameDoc%22%7D" TargetMode="External"/><Relationship Id="rId13" Type="http://schemas.openxmlformats.org/officeDocument/2006/relationships/hyperlink" Target="https://www.justiz.nrw/nrwe/arbgs/hamm/lag_hamm/j2023/12_Ta_216_23_Beschluss_20230921.html" TargetMode="External"/><Relationship Id="rId18" Type="http://schemas.openxmlformats.org/officeDocument/2006/relationships/hyperlink" Target="https://www.justiz.nrw/nrwe/arbgs/koeln/lag_koeln/j2023/4_Sa_1_23_Urteil_20231017.html" TargetMode="External"/><Relationship Id="rId3" Type="http://schemas.openxmlformats.org/officeDocument/2006/relationships/settings" Target="settings.xml"/><Relationship Id="rId21" Type="http://schemas.openxmlformats.org/officeDocument/2006/relationships/hyperlink" Target="http://www.vdaa.de" TargetMode="External"/><Relationship Id="rId7" Type="http://schemas.openxmlformats.org/officeDocument/2006/relationships/image" Target="media/image1.png"/><Relationship Id="rId12" Type="http://schemas.openxmlformats.org/officeDocument/2006/relationships/hyperlink" Target="http://lrbw.juris.de/cgi-bin/laender_rechtsprechung/document.py?Gericht=bw&amp;GerichtAuswahl=Arbeitsgerichte&amp;Art=en&amp;Datum=2023&amp;Seite=2&amp;nr=39207&amp;pos=20&amp;anz=38" TargetMode="External"/><Relationship Id="rId17" Type="http://schemas.openxmlformats.org/officeDocument/2006/relationships/hyperlink" Target="https://www.justiz.nrw/nrwe/arbgs/koeln/lag_koeln/j2023/4_Sa_22_23_Urteil_20231010.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ustiz.nrw/nrwe/arbgs/koeln/lag_koeln/j2023/6_Sa_152_22_Urteil_20231005.html" TargetMode="External"/><Relationship Id="rId20" Type="http://schemas.openxmlformats.org/officeDocument/2006/relationships/hyperlink" Target="mailto:info@vda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rbw.juris.de/cgi-bin/laender_rechtsprechung/document.py?Gericht=bw&amp;GerichtAuswahl=Arbeitsgerichte&amp;Art=en&amp;Datum=2023&amp;Seite=0&amp;nr=39183&amp;pos=5&amp;anz=3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justiz.nrw/nrwe/arbgs/hamm/lag_hamm/j2023/17_Ta_252_23_Beschluss_20231004.html" TargetMode="External"/><Relationship Id="rId23" Type="http://schemas.openxmlformats.org/officeDocument/2006/relationships/footer" Target="footer1.xml"/><Relationship Id="rId10" Type="http://schemas.openxmlformats.org/officeDocument/2006/relationships/hyperlink" Target="http://lrbw.juris.de/cgi-bin/laender_rechtsprechung/document.py?Gericht=bw&amp;GerichtAuswahl=Arbeitsgerichte&amp;Art=en&amp;Datum=2023&amp;Seite=0&amp;nr=39181&amp;pos=2&amp;anz=38" TargetMode="External"/><Relationship Id="rId19" Type="http://schemas.openxmlformats.org/officeDocument/2006/relationships/hyperlink" Target="https://voris.wolterskluwer-online.de/browse/document/385ff97c-3ae9-49ab-bb36-44d914158eeb" TargetMode="External"/><Relationship Id="rId4" Type="http://schemas.openxmlformats.org/officeDocument/2006/relationships/webSettings" Target="webSettings.xml"/><Relationship Id="rId9" Type="http://schemas.openxmlformats.org/officeDocument/2006/relationships/hyperlink" Target="https://www.landesrecht-mv.de/bsmv/document/JURE230056488/part/L" TargetMode="External"/><Relationship Id="rId14" Type="http://schemas.openxmlformats.org/officeDocument/2006/relationships/hyperlink" Target="https://www.justiz.nrw/nrwe/arbgs/hamm/lag_hamm/j2023/4_Sa_163_22_Urteil_20230927.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9564</Characters>
  <Application>Microsoft Office Word</Application>
  <DocSecurity>0</DocSecurity>
  <Lines>180</Lines>
  <Paragraphs>67</Paragraphs>
  <ScaleCrop>false</ScaleCrop>
  <HeadingPairs>
    <vt:vector size="2" baseType="variant">
      <vt:variant>
        <vt:lpstr>Titel</vt:lpstr>
      </vt:variant>
      <vt:variant>
        <vt:i4>1</vt:i4>
      </vt:variant>
    </vt:vector>
  </HeadingPairs>
  <TitlesOfParts>
    <vt:vector size="1" baseType="lpstr">
      <vt:lpstr>Urteile</vt:lpstr>
    </vt:vector>
  </TitlesOfParts>
  <Company>Dr. Gaupp &amp; Coll.</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Urteile</dc:subject>
  <dc:creator>VDAA</dc:creator>
  <cp:keywords>Unternehmensdepesche</cp:keywords>
  <dc:description/>
  <cp:lastModifiedBy>Michael Henn</cp:lastModifiedBy>
  <cp:revision>3</cp:revision>
  <dcterms:created xsi:type="dcterms:W3CDTF">2023-12-05T20:06:00Z</dcterms:created>
  <dcterms:modified xsi:type="dcterms:W3CDTF">2023-12-05T20:07:00Z</dcterms:modified>
</cp:coreProperties>
</file>