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22" w:rsidRDefault="00220F22" w:rsidP="00752B72">
      <w:pPr>
        <w:jc w:val="center"/>
        <w:rPr>
          <w:rFonts w:ascii="Arial" w:hAnsi="Arial" w:cs="Arial"/>
          <w:b/>
          <w:bCs/>
        </w:rPr>
      </w:pPr>
      <w:bookmarkStart w:id="0" w:name="_GoBack"/>
      <w:bookmarkEnd w:id="0"/>
    </w:p>
    <w:p w:rsidR="00752B72" w:rsidRPr="00752B72" w:rsidRDefault="00752B72" w:rsidP="00752B72">
      <w:pPr>
        <w:jc w:val="center"/>
        <w:rPr>
          <w:rFonts w:ascii="Arial" w:hAnsi="Arial" w:cs="Arial"/>
          <w:b/>
        </w:rPr>
      </w:pPr>
      <w:r w:rsidRPr="00752B72">
        <w:rPr>
          <w:rFonts w:ascii="Arial" w:hAnsi="Arial" w:cs="Arial"/>
          <w:b/>
          <w:bCs/>
        </w:rPr>
        <w:t>Quarantäne während des Urlaubs in Covid-19-Pandemie ist nicht mit einer Krankheit vergleichbar</w:t>
      </w:r>
    </w:p>
    <w:p w:rsidR="00ED2C06" w:rsidRDefault="00ED2C06" w:rsidP="00E31452">
      <w:pPr>
        <w:jc w:val="both"/>
        <w:rPr>
          <w:rFonts w:ascii="Arial" w:eastAsia="Calibri" w:hAnsi="Arial" w:cs="Arial"/>
          <w:bCs/>
        </w:rPr>
      </w:pPr>
    </w:p>
    <w:p w:rsidR="00AF1B6B" w:rsidRDefault="00AF1B6B" w:rsidP="004017D9">
      <w:pPr>
        <w:jc w:val="both"/>
        <w:rPr>
          <w:rFonts w:ascii="Arial" w:eastAsia="Calibri" w:hAnsi="Arial" w:cs="Arial"/>
          <w:bCs/>
        </w:rPr>
      </w:pPr>
      <w:r w:rsidRPr="00E31452">
        <w:rPr>
          <w:rFonts w:ascii="Arial" w:eastAsia="Calibri" w:hAnsi="Arial" w:cs="Arial"/>
          <w:bCs/>
        </w:rPr>
        <w:t>ein Artikel von Rechtsanwalt und Fachanwalt für Arbeitsrecht Michael Henn, Stuttgart.</w:t>
      </w:r>
    </w:p>
    <w:p w:rsidR="00752B72" w:rsidRDefault="00752B72" w:rsidP="004017D9">
      <w:pPr>
        <w:jc w:val="both"/>
        <w:rPr>
          <w:rFonts w:ascii="Arial" w:eastAsia="Calibri" w:hAnsi="Arial" w:cs="Arial"/>
          <w:bCs/>
        </w:rPr>
      </w:pPr>
    </w:p>
    <w:p w:rsidR="00752B72" w:rsidRPr="00FF1328" w:rsidRDefault="00752B72" w:rsidP="004017D9">
      <w:pPr>
        <w:jc w:val="both"/>
        <w:rPr>
          <w:rFonts w:ascii="Arial" w:hAnsi="Arial" w:cs="Arial"/>
          <w:b/>
          <w:bCs/>
        </w:rPr>
      </w:pPr>
      <w:r>
        <w:rPr>
          <w:rFonts w:ascii="Arial" w:hAnsi="Arial" w:cs="Arial"/>
          <w:b/>
          <w:bCs/>
        </w:rPr>
        <w:t>Der Europäische Gerichtshof (EuGH) hat soeben entschieden, d</w:t>
      </w:r>
      <w:r w:rsidRPr="00FF1328">
        <w:rPr>
          <w:rFonts w:ascii="Arial" w:hAnsi="Arial" w:cs="Arial"/>
          <w:b/>
          <w:bCs/>
        </w:rPr>
        <w:t>as</w:t>
      </w:r>
      <w:r>
        <w:rPr>
          <w:rFonts w:ascii="Arial" w:hAnsi="Arial" w:cs="Arial"/>
          <w:b/>
          <w:bCs/>
        </w:rPr>
        <w:t xml:space="preserve">s das </w:t>
      </w:r>
      <w:r w:rsidRPr="00FF1328">
        <w:rPr>
          <w:rFonts w:ascii="Arial" w:hAnsi="Arial" w:cs="Arial"/>
          <w:b/>
          <w:bCs/>
        </w:rPr>
        <w:t xml:space="preserve">Unionsrecht </w:t>
      </w:r>
      <w:r>
        <w:rPr>
          <w:rFonts w:ascii="Arial" w:hAnsi="Arial" w:cs="Arial"/>
          <w:b/>
          <w:bCs/>
        </w:rPr>
        <w:t xml:space="preserve">nicht </w:t>
      </w:r>
      <w:r w:rsidRPr="00FF1328">
        <w:rPr>
          <w:rFonts w:ascii="Arial" w:hAnsi="Arial" w:cs="Arial"/>
          <w:b/>
          <w:bCs/>
        </w:rPr>
        <w:t>verlangt, dass ein Arbeitnehmer, der während seines bezahlten Jahresurlaubs unter Quarantäne gestellt worden ist, den Jahresurlaub auf einen späteren Zeitraum übertragen kann</w:t>
      </w:r>
      <w:r>
        <w:rPr>
          <w:rFonts w:ascii="Arial" w:hAnsi="Arial" w:cs="Arial"/>
          <w:b/>
          <w:bCs/>
        </w:rPr>
        <w:t xml:space="preserve">. </w:t>
      </w:r>
      <w:r w:rsidRPr="00FF1328">
        <w:rPr>
          <w:rFonts w:ascii="Arial" w:hAnsi="Arial" w:cs="Arial"/>
          <w:b/>
          <w:bCs/>
        </w:rPr>
        <w:t>Die Quarantäne sei nicht mit einer Krankheit vergleichbar.</w:t>
      </w:r>
    </w:p>
    <w:p w:rsidR="00220F22" w:rsidRDefault="00220F22" w:rsidP="004017D9">
      <w:pPr>
        <w:jc w:val="both"/>
        <w:rPr>
          <w:rFonts w:ascii="Arial" w:hAnsi="Arial" w:cs="Arial"/>
        </w:rPr>
      </w:pPr>
    </w:p>
    <w:p w:rsidR="00752B72" w:rsidRDefault="00752B72" w:rsidP="004017D9">
      <w:pPr>
        <w:jc w:val="both"/>
        <w:rPr>
          <w:rFonts w:ascii="Arial" w:hAnsi="Arial" w:cs="Arial"/>
        </w:rPr>
      </w:pPr>
      <w:r>
        <w:rPr>
          <w:rFonts w:ascii="Arial" w:hAnsi="Arial" w:cs="Arial"/>
        </w:rPr>
        <w:t xml:space="preserve">Darauf verweist </w:t>
      </w:r>
      <w:r w:rsidRPr="00C81562">
        <w:rPr>
          <w:rFonts w:ascii="Arial" w:hAnsi="Arial" w:cs="Arial"/>
        </w:rPr>
        <w:t>der</w:t>
      </w:r>
      <w:r>
        <w:rPr>
          <w:rFonts w:ascii="Arial" w:hAnsi="Arial" w:cs="Arial"/>
        </w:rPr>
        <w:t xml:space="preserve"> </w:t>
      </w:r>
      <w:r w:rsidRPr="00651E5B">
        <w:rPr>
          <w:rFonts w:ascii="Arial" w:hAnsi="Arial" w:cs="Arial"/>
        </w:rPr>
        <w:t xml:space="preserve">Stuttgarter Fachanwalt für Arbeitsrecht Michael Henn, Präsident des VDAA - Verband deutscher ArbeitsrechtsAnwälte e. V. </w:t>
      </w:r>
      <w:r>
        <w:rPr>
          <w:rFonts w:ascii="Arial" w:hAnsi="Arial" w:cs="Arial"/>
        </w:rPr>
        <w:t xml:space="preserve">mit </w:t>
      </w:r>
      <w:r w:rsidRPr="00651E5B">
        <w:rPr>
          <w:rFonts w:ascii="Arial" w:hAnsi="Arial" w:cs="Arial"/>
        </w:rPr>
        <w:t>Sitz in Stuttgart</w:t>
      </w:r>
      <w:r>
        <w:rPr>
          <w:rFonts w:ascii="Arial" w:hAnsi="Arial" w:cs="Arial"/>
        </w:rPr>
        <w:t xml:space="preserve">, unter Hinweis auf </w:t>
      </w:r>
      <w:r w:rsidRPr="00FF1328">
        <w:rPr>
          <w:rFonts w:ascii="Arial" w:hAnsi="Arial" w:cs="Arial"/>
        </w:rPr>
        <w:t>die Mitteilung des Europäische</w:t>
      </w:r>
      <w:r>
        <w:rPr>
          <w:rFonts w:ascii="Arial" w:hAnsi="Arial" w:cs="Arial"/>
        </w:rPr>
        <w:t>n</w:t>
      </w:r>
      <w:r w:rsidRPr="00FF1328">
        <w:rPr>
          <w:rFonts w:ascii="Arial" w:hAnsi="Arial" w:cs="Arial"/>
        </w:rPr>
        <w:t xml:space="preserve"> Gerichtshof</w:t>
      </w:r>
      <w:r>
        <w:rPr>
          <w:rFonts w:ascii="Arial" w:hAnsi="Arial" w:cs="Arial"/>
        </w:rPr>
        <w:t>s</w:t>
      </w:r>
      <w:r w:rsidRPr="00FF1328">
        <w:rPr>
          <w:rFonts w:ascii="Arial" w:hAnsi="Arial" w:cs="Arial"/>
        </w:rPr>
        <w:t xml:space="preserve"> (EuGH) vom 14.12.2023 in der Rechtssache C-206/22 | Sparkasse Südpfalz.</w:t>
      </w:r>
    </w:p>
    <w:p w:rsidR="00752B72" w:rsidRDefault="00752B72" w:rsidP="004017D9">
      <w:pPr>
        <w:jc w:val="both"/>
        <w:rPr>
          <w:rFonts w:ascii="Arial" w:hAnsi="Arial" w:cs="Arial"/>
        </w:rPr>
      </w:pPr>
    </w:p>
    <w:p w:rsidR="00752B72" w:rsidRDefault="00752B72" w:rsidP="004017D9">
      <w:pPr>
        <w:jc w:val="both"/>
        <w:rPr>
          <w:rFonts w:ascii="Arial" w:hAnsi="Arial" w:cs="Arial"/>
        </w:rPr>
      </w:pPr>
      <w:r w:rsidRPr="00FF1328">
        <w:rPr>
          <w:rFonts w:ascii="Arial" w:hAnsi="Arial" w:cs="Arial"/>
        </w:rPr>
        <w:t xml:space="preserve">Ein Arbeitnehmer hatte mit seiner Arbeitgeberin, der Sparkasse Südpfalz (Deutschland), vereinbart, vom 3. Bis 11. Dezember 2020 bezahlten Jahresurlaub zu nehmen. </w:t>
      </w:r>
      <w:r>
        <w:rPr>
          <w:rFonts w:ascii="Arial" w:hAnsi="Arial" w:cs="Arial"/>
        </w:rPr>
        <w:t xml:space="preserve"> </w:t>
      </w:r>
    </w:p>
    <w:p w:rsidR="00752B72" w:rsidRDefault="00752B72" w:rsidP="004017D9">
      <w:pPr>
        <w:jc w:val="both"/>
        <w:rPr>
          <w:rFonts w:ascii="Arial" w:hAnsi="Arial" w:cs="Arial"/>
        </w:rPr>
      </w:pPr>
    </w:p>
    <w:p w:rsidR="00752B72" w:rsidRDefault="00752B72" w:rsidP="004017D9">
      <w:pPr>
        <w:jc w:val="both"/>
        <w:rPr>
          <w:rFonts w:ascii="Arial" w:hAnsi="Arial" w:cs="Arial"/>
        </w:rPr>
      </w:pPr>
      <w:r w:rsidRPr="00FF1328">
        <w:rPr>
          <w:rFonts w:ascii="Arial" w:hAnsi="Arial" w:cs="Arial"/>
        </w:rPr>
        <w:t>Aufgrund eines Kontakts mit einer positiv auf COVID-19 getesteten Person stellte die zuständige deutsche Behörde den Arbeitnehmer im selben Zeitraum unter Quarantäne.</w:t>
      </w:r>
    </w:p>
    <w:p w:rsidR="00752B72" w:rsidRPr="00FF1328" w:rsidRDefault="00752B72" w:rsidP="004017D9">
      <w:pPr>
        <w:jc w:val="both"/>
        <w:rPr>
          <w:rFonts w:ascii="Arial" w:hAnsi="Arial" w:cs="Arial"/>
        </w:rPr>
      </w:pPr>
    </w:p>
    <w:p w:rsidR="00752B72" w:rsidRPr="00FF1328" w:rsidRDefault="00752B72" w:rsidP="004017D9">
      <w:pPr>
        <w:jc w:val="both"/>
        <w:rPr>
          <w:rFonts w:ascii="Arial" w:hAnsi="Arial" w:cs="Arial"/>
        </w:rPr>
      </w:pPr>
      <w:r w:rsidRPr="00FF1328">
        <w:rPr>
          <w:rFonts w:ascii="Arial" w:hAnsi="Arial" w:cs="Arial"/>
        </w:rPr>
        <w:t>Daraufhin beantragte er bei der Sparkasse, diese Urlaubstage auf einen späteren Zeitraum übertragen zu dürfen. Nachdem die Sparkasse dies abgelehnt hatte, wandte er sich an das zuständige Arbeitsgericht und machte geltend, dass diese Ablehnung gegen das Unionsrecht, nämlich die Arbeitszeitrichtlinie, verstoße. Nach den Ausführungen dieses Gerichts verpflichtet das nationale Recht den Arbeitgeber nur dann zur Übertragung der gewährten Urlaubstage, wenn der Arbeitnehmer eine Arbeitsunfähigkeit nachweisen kann, die während des Urlaubszeitraums eingetreten ist. Die deutschen Gerichte hätten aber entschieden, dass die bloße Quarantäne nicht mit einer Arbeitsunfähigkeit gleichzusetzen sei.</w:t>
      </w:r>
    </w:p>
    <w:p w:rsidR="00752B72" w:rsidRPr="00FF1328" w:rsidRDefault="00752B72" w:rsidP="004017D9">
      <w:pPr>
        <w:jc w:val="both"/>
        <w:rPr>
          <w:rFonts w:ascii="Arial" w:hAnsi="Arial" w:cs="Arial"/>
        </w:rPr>
      </w:pPr>
    </w:p>
    <w:p w:rsidR="00752B72" w:rsidRPr="00FF1328" w:rsidRDefault="00752B72" w:rsidP="004017D9">
      <w:pPr>
        <w:jc w:val="both"/>
        <w:rPr>
          <w:rFonts w:ascii="Arial" w:hAnsi="Arial" w:cs="Arial"/>
        </w:rPr>
      </w:pPr>
      <w:r w:rsidRPr="00FF1328">
        <w:rPr>
          <w:rFonts w:ascii="Arial" w:hAnsi="Arial" w:cs="Arial"/>
        </w:rPr>
        <w:t>Das Arbeitsgericht wollte daher vom Gerichtshof wissen, ob das Unionsrecht verlangt, dass Urlaubstage, die mit der Quarantäne zusammenfallen, übertragen werden können.</w:t>
      </w:r>
    </w:p>
    <w:p w:rsidR="00752B72" w:rsidRPr="00FF1328" w:rsidRDefault="00752B72" w:rsidP="004017D9">
      <w:pPr>
        <w:jc w:val="both"/>
        <w:rPr>
          <w:rFonts w:ascii="Arial" w:hAnsi="Arial" w:cs="Arial"/>
        </w:rPr>
      </w:pPr>
    </w:p>
    <w:p w:rsidR="00752B72" w:rsidRPr="00FF1328" w:rsidRDefault="00752B72" w:rsidP="004017D9">
      <w:pPr>
        <w:jc w:val="both"/>
        <w:rPr>
          <w:rFonts w:ascii="Arial" w:hAnsi="Arial" w:cs="Arial"/>
        </w:rPr>
      </w:pPr>
      <w:r w:rsidRPr="00FF1328">
        <w:rPr>
          <w:rFonts w:ascii="Arial" w:hAnsi="Arial" w:cs="Arial"/>
        </w:rPr>
        <w:lastRenderedPageBreak/>
        <w:t>Der Gerichtshof entscheidet, dass das Unionsrecht nicht verlangt, dass die Tage bezahlten Jahresurlaubs, an denen der Arbeitnehmer nicht krank ist, sondern aufgrund eines Kontakts mit einer mit einem Virus infizierten Person unter Quarantäne gestellt ist, übertragen werden müssen.</w:t>
      </w:r>
    </w:p>
    <w:p w:rsidR="00752B72" w:rsidRPr="00FF1328" w:rsidRDefault="00752B72" w:rsidP="004017D9">
      <w:pPr>
        <w:jc w:val="both"/>
        <w:rPr>
          <w:rFonts w:ascii="Arial" w:hAnsi="Arial" w:cs="Arial"/>
        </w:rPr>
      </w:pPr>
    </w:p>
    <w:p w:rsidR="00752B72" w:rsidRPr="00FF1328" w:rsidRDefault="00752B72" w:rsidP="004017D9">
      <w:pPr>
        <w:jc w:val="both"/>
        <w:rPr>
          <w:rFonts w:ascii="Arial" w:hAnsi="Arial" w:cs="Arial"/>
        </w:rPr>
      </w:pPr>
      <w:r w:rsidRPr="00FF1328">
        <w:rPr>
          <w:rFonts w:ascii="Arial" w:hAnsi="Arial" w:cs="Arial"/>
        </w:rPr>
        <w:t>Der bezahlte Jahresurlaub bezweckt, es dem Arbeitnehmer zu ermöglichen, sich von der Ausübung der ihm nach seinem Arbeitsvertrag obliegenden Aufgaben zu erholen und über einen Zeitraum der Entspannung und Freizeit zu verfügen. Anders als eine Krankheit steht ein Quarantänezeitraum als solcher der Verwirklichung dieser Zwecke nicht entgegen.</w:t>
      </w:r>
    </w:p>
    <w:p w:rsidR="00752B72" w:rsidRPr="00FF1328" w:rsidRDefault="00752B72" w:rsidP="004017D9">
      <w:pPr>
        <w:jc w:val="both"/>
        <w:rPr>
          <w:rFonts w:ascii="Arial" w:hAnsi="Arial" w:cs="Arial"/>
        </w:rPr>
      </w:pPr>
    </w:p>
    <w:p w:rsidR="00752B72" w:rsidRDefault="00752B72" w:rsidP="004017D9">
      <w:pPr>
        <w:jc w:val="both"/>
        <w:rPr>
          <w:rFonts w:ascii="Arial" w:hAnsi="Arial" w:cs="Arial"/>
        </w:rPr>
      </w:pPr>
      <w:r w:rsidRPr="00FF1328">
        <w:rPr>
          <w:rFonts w:ascii="Arial" w:hAnsi="Arial" w:cs="Arial"/>
        </w:rPr>
        <w:t>Folglich ist der Arbeitgeber nicht verpflichtet, die Nachteile auszugleichen, die sich aus einem unvorhersehbaren Ereignis wie einer Quarantäne ergeben, das seinen Arbeitnehmer daran hindern könnte, seinen Anspruch auf bezahlten Jahresurlaub uneingeschränkt und wie gewünscht zu nutzen.</w:t>
      </w:r>
    </w:p>
    <w:p w:rsidR="00752B72" w:rsidRDefault="00752B72" w:rsidP="004017D9">
      <w:pPr>
        <w:jc w:val="both"/>
        <w:rPr>
          <w:rFonts w:ascii="Arial" w:hAnsi="Arial" w:cs="Arial"/>
        </w:rPr>
      </w:pPr>
    </w:p>
    <w:p w:rsidR="00752B72" w:rsidRDefault="00752B72" w:rsidP="004017D9">
      <w:pPr>
        <w:jc w:val="both"/>
        <w:rPr>
          <w:rFonts w:ascii="Arial" w:hAnsi="Arial" w:cs="Arial"/>
          <w:b/>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ArbeitsrechtsAnwälte e. V. – </w:t>
      </w:r>
      <w:hyperlink r:id="rId6" w:history="1">
        <w:r w:rsidRPr="00571B0E">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752B72" w:rsidRPr="00605BBE" w:rsidRDefault="00752B72" w:rsidP="004017D9">
      <w:pPr>
        <w:jc w:val="both"/>
        <w:rPr>
          <w:rFonts w:ascii="Arial" w:hAnsi="Arial" w:cs="Arial"/>
        </w:rPr>
      </w:pPr>
    </w:p>
    <w:p w:rsidR="00E40AEE" w:rsidRPr="004017D9" w:rsidRDefault="00E40AEE" w:rsidP="004017D9">
      <w:pPr>
        <w:spacing w:line="240" w:lineRule="auto"/>
        <w:jc w:val="both"/>
        <w:rPr>
          <w:rFonts w:ascii="Arial" w:eastAsia="Arial Unicode MS" w:hAnsi="Arial" w:cs="Arial"/>
          <w:sz w:val="20"/>
          <w:szCs w:val="20"/>
          <w:lang w:eastAsia="de-DE"/>
        </w:rPr>
      </w:pPr>
      <w:r w:rsidRPr="004017D9">
        <w:rPr>
          <w:rFonts w:ascii="Arial" w:eastAsia="Times New Roman" w:hAnsi="Arial" w:cs="Arial"/>
          <w:sz w:val="20"/>
          <w:szCs w:val="20"/>
          <w:lang w:eastAsia="de-DE"/>
        </w:rPr>
        <w:t xml:space="preserve">Der Autor ist Präsident </w:t>
      </w:r>
      <w:r w:rsidRPr="004017D9">
        <w:rPr>
          <w:rFonts w:ascii="Arial" w:eastAsia="Times New Roman" w:hAnsi="Arial" w:cs="Arial"/>
          <w:sz w:val="20"/>
          <w:szCs w:val="20"/>
        </w:rPr>
        <w:t>des VDAA Verband deutscher Arbeitsrechtsanwälte e. V.</w:t>
      </w:r>
    </w:p>
    <w:p w:rsidR="00E40AEE" w:rsidRPr="004017D9" w:rsidRDefault="00E40AEE" w:rsidP="004017D9">
      <w:pPr>
        <w:pStyle w:val="StandardWeb"/>
        <w:spacing w:before="0" w:beforeAutospacing="0" w:after="0" w:afterAutospacing="0"/>
        <w:jc w:val="both"/>
        <w:rPr>
          <w:rFonts w:ascii="Arial" w:hAnsi="Arial" w:cs="Arial"/>
          <w:sz w:val="20"/>
          <w:szCs w:val="20"/>
        </w:rPr>
      </w:pPr>
    </w:p>
    <w:p w:rsidR="00E31452" w:rsidRPr="004017D9" w:rsidRDefault="00E31452" w:rsidP="004017D9">
      <w:pPr>
        <w:autoSpaceDE w:val="0"/>
        <w:autoSpaceDN w:val="0"/>
        <w:adjustRightInd w:val="0"/>
        <w:spacing w:line="240" w:lineRule="auto"/>
        <w:jc w:val="both"/>
        <w:rPr>
          <w:rFonts w:ascii="Arial" w:eastAsia="Calibri" w:hAnsi="Arial" w:cs="Arial"/>
          <w:color w:val="000000"/>
          <w:sz w:val="20"/>
          <w:szCs w:val="20"/>
        </w:rPr>
      </w:pPr>
      <w:r w:rsidRPr="004017D9">
        <w:rPr>
          <w:rFonts w:ascii="Arial" w:eastAsia="Calibri" w:hAnsi="Arial" w:cs="Arial"/>
          <w:color w:val="000000"/>
          <w:sz w:val="20"/>
          <w:szCs w:val="20"/>
        </w:rPr>
        <w:t>Für Rückfragen steht Ihnen der Autor gerne zur Verfügung.</w:t>
      </w:r>
    </w:p>
    <w:p w:rsidR="00E31452" w:rsidRPr="004017D9" w:rsidRDefault="00E31452" w:rsidP="004017D9">
      <w:pPr>
        <w:spacing w:line="240" w:lineRule="auto"/>
        <w:jc w:val="both"/>
        <w:rPr>
          <w:rFonts w:ascii="Arial" w:hAnsi="Arial" w:cs="Arial"/>
          <w:sz w:val="20"/>
          <w:szCs w:val="20"/>
        </w:rPr>
      </w:pP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Michael Henn</w:t>
      </w: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Rechtsanwalt</w:t>
      </w: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Fachanwalt für Erbrecht</w:t>
      </w: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Fachanwalt für Arbeitsrecht</w:t>
      </w: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VDAA – Präsident</w:t>
      </w: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Rechtsanwälte Dr. Gaupp &amp; Coll</w:t>
      </w:r>
    </w:p>
    <w:p w:rsidR="00E31452" w:rsidRPr="004017D9" w:rsidRDefault="00E31452" w:rsidP="004017D9">
      <w:pPr>
        <w:spacing w:line="240" w:lineRule="auto"/>
        <w:jc w:val="both"/>
        <w:rPr>
          <w:rFonts w:ascii="Arial" w:hAnsi="Arial" w:cs="Arial"/>
          <w:sz w:val="20"/>
          <w:szCs w:val="20"/>
        </w:rPr>
      </w:pPr>
      <w:proofErr w:type="spellStart"/>
      <w:r w:rsidRPr="004017D9">
        <w:rPr>
          <w:rFonts w:ascii="Arial" w:hAnsi="Arial" w:cs="Arial"/>
          <w:sz w:val="20"/>
          <w:szCs w:val="20"/>
        </w:rPr>
        <w:t>Gerokstr</w:t>
      </w:r>
      <w:proofErr w:type="spellEnd"/>
      <w:r w:rsidRPr="004017D9">
        <w:rPr>
          <w:rFonts w:ascii="Arial" w:hAnsi="Arial" w:cs="Arial"/>
          <w:sz w:val="20"/>
          <w:szCs w:val="20"/>
        </w:rPr>
        <w:t>. 8</w:t>
      </w: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70188 Stuttgart</w:t>
      </w: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Tel.: 0711/30 58 93-0</w:t>
      </w:r>
    </w:p>
    <w:p w:rsidR="00E31452" w:rsidRPr="004017D9" w:rsidRDefault="00E31452" w:rsidP="004017D9">
      <w:pPr>
        <w:spacing w:line="240" w:lineRule="auto"/>
        <w:jc w:val="both"/>
        <w:rPr>
          <w:rFonts w:ascii="Arial" w:hAnsi="Arial" w:cs="Arial"/>
          <w:sz w:val="20"/>
          <w:szCs w:val="20"/>
        </w:rPr>
      </w:pPr>
      <w:r w:rsidRPr="004017D9">
        <w:rPr>
          <w:rFonts w:ascii="Arial" w:hAnsi="Arial" w:cs="Arial"/>
          <w:sz w:val="20"/>
          <w:szCs w:val="20"/>
        </w:rPr>
        <w:t>Fax: 0711/30 58 93-11</w:t>
      </w:r>
    </w:p>
    <w:p w:rsidR="00E31452" w:rsidRPr="004017D9" w:rsidRDefault="0033698C" w:rsidP="004017D9">
      <w:pPr>
        <w:spacing w:line="240" w:lineRule="auto"/>
        <w:jc w:val="both"/>
        <w:rPr>
          <w:rFonts w:ascii="Arial" w:hAnsi="Arial" w:cs="Arial"/>
          <w:sz w:val="20"/>
          <w:szCs w:val="20"/>
        </w:rPr>
      </w:pPr>
      <w:hyperlink r:id="rId7" w:history="1">
        <w:r w:rsidR="00E31452" w:rsidRPr="004017D9">
          <w:rPr>
            <w:rStyle w:val="Hyperlink"/>
            <w:rFonts w:ascii="Arial" w:hAnsi="Arial" w:cs="Arial"/>
            <w:sz w:val="20"/>
            <w:szCs w:val="20"/>
          </w:rPr>
          <w:t>stuttgart@drgaupp.de</w:t>
        </w:r>
      </w:hyperlink>
      <w:r w:rsidR="00E31452" w:rsidRPr="004017D9">
        <w:rPr>
          <w:rFonts w:ascii="Arial" w:hAnsi="Arial" w:cs="Arial"/>
          <w:sz w:val="20"/>
          <w:szCs w:val="20"/>
        </w:rPr>
        <w:t> </w:t>
      </w:r>
    </w:p>
    <w:p w:rsidR="00AF1B6B" w:rsidRDefault="0033698C" w:rsidP="00E40AEE">
      <w:pPr>
        <w:spacing w:line="240" w:lineRule="auto"/>
        <w:jc w:val="both"/>
        <w:rPr>
          <w:rStyle w:val="Hyperlink"/>
          <w:rFonts w:ascii="Arial" w:hAnsi="Arial" w:cs="Arial"/>
          <w:sz w:val="20"/>
          <w:szCs w:val="20"/>
        </w:rPr>
      </w:pPr>
      <w:hyperlink r:id="rId8" w:history="1">
        <w:r w:rsidR="00E31452" w:rsidRPr="004017D9">
          <w:rPr>
            <w:rStyle w:val="Hyperlink"/>
            <w:rFonts w:ascii="Arial" w:hAnsi="Arial" w:cs="Arial"/>
            <w:sz w:val="20"/>
            <w:szCs w:val="20"/>
          </w:rPr>
          <w:t>www.drgaupp.de</w:t>
        </w:r>
      </w:hyperlink>
    </w:p>
    <w:p w:rsidR="0016637A" w:rsidRPr="004017D9" w:rsidRDefault="0016637A" w:rsidP="00E40AEE">
      <w:pPr>
        <w:spacing w:line="240" w:lineRule="auto"/>
        <w:jc w:val="both"/>
        <w:rPr>
          <w:rFonts w:ascii="Arial" w:hAnsi="Arial" w:cs="Arial"/>
          <w:sz w:val="20"/>
          <w:szCs w:val="20"/>
        </w:rPr>
      </w:pPr>
    </w:p>
    <w:sectPr w:rsidR="0016637A" w:rsidRPr="004017D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F83" w:rsidRDefault="00072F83" w:rsidP="001D5B1F">
      <w:pPr>
        <w:spacing w:line="240" w:lineRule="auto"/>
      </w:pPr>
      <w:r>
        <w:separator/>
      </w:r>
    </w:p>
  </w:endnote>
  <w:endnote w:type="continuationSeparator" w:id="0">
    <w:p w:rsidR="00072F83" w:rsidRDefault="00072F83" w:rsidP="001D5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F83" w:rsidRDefault="00072F83" w:rsidP="001D5B1F">
      <w:pPr>
        <w:spacing w:line="240" w:lineRule="auto"/>
      </w:pPr>
      <w:r>
        <w:separator/>
      </w:r>
    </w:p>
  </w:footnote>
  <w:footnote w:type="continuationSeparator" w:id="0">
    <w:p w:rsidR="00072F83" w:rsidRDefault="00072F83" w:rsidP="001D5B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8C" w:rsidRDefault="0033698C" w:rsidP="0033698C">
    <w:pPr>
      <w:tabs>
        <w:tab w:val="left" w:pos="3000"/>
        <w:tab w:val="left" w:pos="6804"/>
      </w:tabs>
      <w:spacing w:before="100" w:beforeAutospacing="1" w:after="100" w:afterAutospacing="1" w:line="240" w:lineRule="auto"/>
      <w:jc w:val="right"/>
      <w:outlineLvl w:val="0"/>
      <w:rPr>
        <w:rFonts w:ascii="Arial" w:eastAsia="Calibri" w:hAnsi="Arial" w:cs="Times New Roman"/>
        <w:b/>
        <w:noProof/>
        <w:sz w:val="24"/>
        <w:szCs w:val="24"/>
        <w:lang w:eastAsia="de-DE"/>
      </w:rPr>
    </w:pPr>
    <w:r>
      <w:rPr>
        <w:noProof/>
        <w:lang w:eastAsia="de-DE"/>
      </w:rPr>
      <w:drawing>
        <wp:inline distT="0" distB="0" distL="0" distR="0" wp14:anchorId="66590C18" wp14:editId="0131E318">
          <wp:extent cx="1330353" cy="55913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33698C" w:rsidRPr="00AD1612" w:rsidRDefault="0033698C" w:rsidP="0033698C">
    <w:pPr>
      <w:tabs>
        <w:tab w:val="left" w:pos="3000"/>
        <w:tab w:val="left" w:pos="6804"/>
      </w:tabs>
      <w:spacing w:before="100" w:beforeAutospacing="1" w:after="100" w:afterAutospacing="1" w:line="240" w:lineRule="auto"/>
      <w:jc w:val="center"/>
      <w:outlineLvl w:val="0"/>
      <w:rPr>
        <w:rFonts w:ascii="Arial" w:eastAsia="Calibri" w:hAnsi="Arial" w:cs="Times New Roman"/>
        <w:b/>
        <w:noProof/>
        <w:sz w:val="28"/>
        <w:szCs w:val="28"/>
        <w:lang w:eastAsia="de-DE"/>
      </w:rPr>
    </w:pPr>
    <w:r>
      <w:rPr>
        <w:rFonts w:ascii="Arial" w:eastAsia="Calibri" w:hAnsi="Arial" w:cs="Times New Roman"/>
        <w:b/>
        <w:noProof/>
        <w:sz w:val="28"/>
        <w:szCs w:val="28"/>
        <w:lang w:eastAsia="de-DE"/>
      </w:rPr>
      <w:t>V</w:t>
    </w:r>
    <w:r w:rsidRPr="00AD1612">
      <w:rPr>
        <w:rFonts w:ascii="Arial" w:eastAsia="Calibri" w:hAnsi="Arial" w:cs="Times New Roman"/>
        <w:b/>
        <w:noProof/>
        <w:sz w:val="28"/>
        <w:szCs w:val="28"/>
        <w:lang w:eastAsia="de-DE"/>
      </w:rPr>
      <w:t>DAA- Arbeitsrechtsdepesche 01-2024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6B"/>
    <w:rsid w:val="00072F83"/>
    <w:rsid w:val="0016637A"/>
    <w:rsid w:val="001B48F6"/>
    <w:rsid w:val="001D5B1F"/>
    <w:rsid w:val="00220F22"/>
    <w:rsid w:val="003017D3"/>
    <w:rsid w:val="0033698C"/>
    <w:rsid w:val="004017D9"/>
    <w:rsid w:val="00571B0E"/>
    <w:rsid w:val="00577997"/>
    <w:rsid w:val="00654E41"/>
    <w:rsid w:val="00752B72"/>
    <w:rsid w:val="00923321"/>
    <w:rsid w:val="00AF1B6B"/>
    <w:rsid w:val="00D46CE6"/>
    <w:rsid w:val="00D83898"/>
    <w:rsid w:val="00E31452"/>
    <w:rsid w:val="00E40AEE"/>
    <w:rsid w:val="00ED2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F3D4F-728C-40BD-A4E0-F0A4A757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F1B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iPriority w:val="99"/>
    <w:rsid w:val="00AF1B6B"/>
    <w:rPr>
      <w:rFonts w:ascii="Times New Roman" w:hAnsi="Times New Roman" w:cs="Times New Roman"/>
      <w:color w:val="0000FF"/>
      <w:u w:val="single"/>
    </w:rPr>
  </w:style>
  <w:style w:type="character" w:customStyle="1" w:styleId="NichtaufgelsteErwhnung1">
    <w:name w:val="Nicht aufgelöste Erwähnung1"/>
    <w:basedOn w:val="Absatz-Standardschriftart"/>
    <w:uiPriority w:val="99"/>
    <w:semiHidden/>
    <w:unhideWhenUsed/>
    <w:rsid w:val="00571B0E"/>
    <w:rPr>
      <w:color w:val="605E5C"/>
      <w:shd w:val="clear" w:color="auto" w:fill="E1DFDD"/>
    </w:rPr>
  </w:style>
  <w:style w:type="paragraph" w:styleId="Kopfzeile">
    <w:name w:val="header"/>
    <w:basedOn w:val="Standard"/>
    <w:link w:val="KopfzeileZchn"/>
    <w:uiPriority w:val="99"/>
    <w:unhideWhenUsed/>
    <w:rsid w:val="001D5B1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D5B1F"/>
  </w:style>
  <w:style w:type="paragraph" w:styleId="Fuzeile">
    <w:name w:val="footer"/>
    <w:basedOn w:val="Standard"/>
    <w:link w:val="FuzeileZchn"/>
    <w:uiPriority w:val="99"/>
    <w:unhideWhenUsed/>
    <w:rsid w:val="001D5B1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D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enn\AppData\Local\Microsoft\Windows\INetCache\Content.Outlook\DU2FD6LE\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3208</Characters>
  <Application>Microsoft Office Word</Application>
  <DocSecurity>0</DocSecurity>
  <Lines>89</Lines>
  <Paragraphs>53</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5</cp:revision>
  <dcterms:created xsi:type="dcterms:W3CDTF">2024-02-01T16:58:00Z</dcterms:created>
  <dcterms:modified xsi:type="dcterms:W3CDTF">2024-02-03T15:20:00Z</dcterms:modified>
</cp:coreProperties>
</file>