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FD0" w:rsidRDefault="00902FD0" w:rsidP="00902FD0">
      <w:pPr>
        <w:jc w:val="center"/>
        <w:rPr>
          <w:rFonts w:ascii="Arial" w:hAnsi="Arial" w:cs="Arial"/>
          <w:b/>
          <w:bCs/>
        </w:rPr>
      </w:pPr>
      <w:bookmarkStart w:id="0" w:name="_GoBack"/>
      <w:bookmarkEnd w:id="0"/>
    </w:p>
    <w:p w:rsidR="00902FD0" w:rsidRPr="00351B9D" w:rsidRDefault="00902FD0" w:rsidP="00902FD0">
      <w:pPr>
        <w:jc w:val="center"/>
        <w:rPr>
          <w:rFonts w:ascii="Arial" w:hAnsi="Arial" w:cs="Arial"/>
          <w:b/>
          <w:bCs/>
        </w:rPr>
      </w:pPr>
      <w:r>
        <w:rPr>
          <w:rFonts w:ascii="Arial" w:hAnsi="Arial" w:cs="Arial"/>
          <w:b/>
          <w:bCs/>
        </w:rPr>
        <w:t xml:space="preserve">BAG </w:t>
      </w:r>
      <w:r w:rsidRPr="00351B9D">
        <w:rPr>
          <w:rFonts w:ascii="Arial" w:hAnsi="Arial" w:cs="Arial"/>
          <w:b/>
          <w:bCs/>
        </w:rPr>
        <w:t>entscheidet: Kein Mitspracherecht bei Verbot der privaten Handynutzung</w:t>
      </w:r>
    </w:p>
    <w:p w:rsidR="002D579A" w:rsidRDefault="002D579A" w:rsidP="002D579A">
      <w:pPr>
        <w:jc w:val="both"/>
        <w:rPr>
          <w:rFonts w:ascii="Arial" w:hAnsi="Arial" w:cs="Arial"/>
          <w:b/>
          <w:bCs/>
        </w:rPr>
      </w:pPr>
    </w:p>
    <w:p w:rsidR="002D579A" w:rsidRDefault="002D579A" w:rsidP="00902FD0">
      <w:pPr>
        <w:widowControl w:val="0"/>
        <w:jc w:val="both"/>
        <w:rPr>
          <w:rFonts w:ascii="Arial" w:eastAsia="Times New Roman" w:hAnsi="Arial" w:cs="Arial"/>
          <w:lang w:eastAsia="de-DE"/>
        </w:rPr>
      </w:pPr>
      <w:r w:rsidRPr="00894DA7">
        <w:rPr>
          <w:rFonts w:ascii="Arial" w:eastAsia="Times New Roman" w:hAnsi="Arial" w:cs="Arial"/>
          <w:lang w:eastAsia="de-DE"/>
        </w:rPr>
        <w:t>ein Artikel von Rechtsanwalt und Fachanwalt für Arbeitsrecht Volker Görzel, Köln</w:t>
      </w:r>
    </w:p>
    <w:p w:rsidR="00902FD0" w:rsidRPr="00894DA7" w:rsidRDefault="00902FD0" w:rsidP="00902FD0">
      <w:pPr>
        <w:widowControl w:val="0"/>
        <w:jc w:val="both"/>
        <w:rPr>
          <w:rFonts w:ascii="Arial" w:eastAsia="Times New Roman" w:hAnsi="Arial" w:cs="Arial"/>
          <w:lang w:eastAsia="de-DE"/>
        </w:rPr>
      </w:pPr>
    </w:p>
    <w:p w:rsidR="00902FD0" w:rsidRDefault="00902FD0" w:rsidP="00902FD0">
      <w:pPr>
        <w:jc w:val="both"/>
        <w:rPr>
          <w:rFonts w:ascii="Arial" w:hAnsi="Arial" w:cs="Arial"/>
          <w:b/>
          <w:bCs/>
        </w:rPr>
      </w:pPr>
      <w:r w:rsidRPr="00351B9D">
        <w:rPr>
          <w:rFonts w:ascii="Arial" w:hAnsi="Arial" w:cs="Arial"/>
          <w:b/>
          <w:bCs/>
        </w:rPr>
        <w:t xml:space="preserve">Gerne schauen Arbeitnehmer während Leerlaufzeiten, in denen keine Aufgabe im Betrieb anfällt, auf ihr Handy. Es stellte sich in dem Verfahren die Frage, ob der Betriebsrat bei einem Verbot der privaten Handynutzung ein Mitspracherecht hat. </w:t>
      </w:r>
    </w:p>
    <w:p w:rsidR="00902FD0" w:rsidRDefault="00902FD0" w:rsidP="00902FD0">
      <w:pPr>
        <w:jc w:val="both"/>
        <w:rPr>
          <w:rFonts w:ascii="Arial" w:hAnsi="Arial" w:cs="Arial"/>
          <w:b/>
          <w:bCs/>
        </w:rPr>
      </w:pPr>
    </w:p>
    <w:p w:rsidR="00902FD0" w:rsidRDefault="00902FD0" w:rsidP="00902FD0">
      <w:pPr>
        <w:jc w:val="both"/>
        <w:rPr>
          <w:rFonts w:ascii="Arial" w:hAnsi="Arial" w:cs="Arial"/>
        </w:rPr>
      </w:pPr>
      <w:r w:rsidRPr="00351B9D">
        <w:rPr>
          <w:rFonts w:ascii="Arial" w:hAnsi="Arial" w:cs="Arial"/>
        </w:rPr>
        <w:t>Das höchste deutsche Arbeitsgericht entschied: Nein, der Betriebsrat hat kein Mitspracherecht bei einem Verbot privater Handynutzung</w:t>
      </w:r>
      <w:r>
        <w:rPr>
          <w:rFonts w:ascii="Arial" w:hAnsi="Arial" w:cs="Arial"/>
        </w:rPr>
        <w:t xml:space="preserve">, so der </w:t>
      </w:r>
      <w:r w:rsidRPr="00351B9D">
        <w:rPr>
          <w:rFonts w:ascii="Arial" w:hAnsi="Arial" w:cs="Arial"/>
        </w:rPr>
        <w:t xml:space="preserve">Kölner </w:t>
      </w:r>
      <w:bookmarkStart w:id="1" w:name="_Hlk121675774"/>
      <w:r w:rsidRPr="00351B9D">
        <w:rPr>
          <w:rFonts w:ascii="Arial" w:hAnsi="Arial" w:cs="Arial"/>
        </w:rPr>
        <w:t xml:space="preserve">Fachanwalt für Arbeitsrecht Volker Görzel, </w:t>
      </w:r>
      <w:bookmarkEnd w:id="1"/>
      <w:r w:rsidRPr="00351B9D">
        <w:rPr>
          <w:rFonts w:ascii="Arial" w:hAnsi="Arial" w:cs="Arial"/>
        </w:rPr>
        <w:t>Leiter des Fachausschusses „Betriebsverfassungsrecht und Mitbestimmung“ des VDAA - Verband deutscher ArbeitsrechtsAnwälte e. V. mit Sitz in Stuttgart</w:t>
      </w:r>
      <w:r w:rsidR="009B4B62">
        <w:rPr>
          <w:rFonts w:ascii="Arial" w:hAnsi="Arial" w:cs="Arial"/>
        </w:rPr>
        <w:t xml:space="preserve"> unter Hinweis auf die Entscheidung des </w:t>
      </w:r>
      <w:r w:rsidR="009B4B62" w:rsidRPr="009B4B62">
        <w:rPr>
          <w:rFonts w:ascii="Arial" w:hAnsi="Arial" w:cs="Arial"/>
        </w:rPr>
        <w:t xml:space="preserve">BAG vom  </w:t>
      </w:r>
      <w:r w:rsidR="009B4B62">
        <w:rPr>
          <w:rStyle w:val="freetext-description"/>
          <w:rFonts w:ascii="Arial" w:hAnsi="Arial" w:cs="Arial"/>
        </w:rPr>
        <w:t xml:space="preserve">7. Oktober 2023, </w:t>
      </w:r>
      <w:r w:rsidR="009B4B62" w:rsidRPr="009B4B62">
        <w:rPr>
          <w:rStyle w:val="freetext-description"/>
          <w:rFonts w:ascii="Arial" w:hAnsi="Arial" w:cs="Arial"/>
        </w:rPr>
        <w:t>Az. 1 ABR 24/22</w:t>
      </w:r>
      <w:r w:rsidR="009B4B62">
        <w:rPr>
          <w:rStyle w:val="freetext-description"/>
        </w:rPr>
        <w:t>.</w:t>
      </w:r>
    </w:p>
    <w:p w:rsidR="00902FD0" w:rsidRDefault="00902FD0" w:rsidP="00902FD0">
      <w:pPr>
        <w:jc w:val="both"/>
        <w:rPr>
          <w:rFonts w:ascii="Arial" w:hAnsi="Arial" w:cs="Arial"/>
        </w:rPr>
      </w:pPr>
    </w:p>
    <w:p w:rsidR="00902FD0" w:rsidRPr="00902FD0" w:rsidRDefault="00902FD0" w:rsidP="00902FD0">
      <w:pPr>
        <w:jc w:val="both"/>
        <w:rPr>
          <w:rFonts w:ascii="Arial" w:hAnsi="Arial" w:cs="Arial"/>
          <w:b/>
          <w:bCs/>
        </w:rPr>
      </w:pPr>
      <w:r w:rsidRPr="00902FD0">
        <w:rPr>
          <w:rFonts w:ascii="Arial" w:hAnsi="Arial" w:cs="Arial"/>
          <w:b/>
          <w:bCs/>
        </w:rPr>
        <w:t>Arbeitgeber verbietet private Handynutzung</w:t>
      </w:r>
    </w:p>
    <w:p w:rsidR="00902FD0" w:rsidRDefault="00902FD0" w:rsidP="00902FD0">
      <w:pPr>
        <w:jc w:val="both"/>
        <w:rPr>
          <w:rFonts w:ascii="Arial" w:hAnsi="Arial" w:cs="Arial"/>
        </w:rPr>
      </w:pPr>
      <w:r w:rsidRPr="00351B9D">
        <w:rPr>
          <w:rFonts w:ascii="Arial" w:hAnsi="Arial" w:cs="Arial"/>
        </w:rPr>
        <w:t>Die Standortleitung eines Automobilzulieferers verbot im Jahr 2021 die private Handynutzung am Arbeitsplatz. Dies galt vor allem auch in technisch bedingten Leerlaufzeiten im Betrieb. Der Betriebsrat sah darin eine Anordnung, die mitbestimmungspflichtig sei. Dementsprechend forderte der Betriebsrat eine Rücknahme des Verbots. Als der Arbeitgeber sich weigerte das Verbot der privaten Handynutzung am Arbeitsplatz zurückzunehmen, wandte sich der Betriebsrat an die Arbeitsgerichte.</w:t>
      </w:r>
    </w:p>
    <w:p w:rsidR="00902FD0" w:rsidRPr="00351B9D" w:rsidRDefault="00902FD0" w:rsidP="00902FD0">
      <w:pPr>
        <w:jc w:val="both"/>
        <w:rPr>
          <w:rFonts w:ascii="Arial" w:hAnsi="Arial" w:cs="Arial"/>
        </w:rPr>
      </w:pPr>
    </w:p>
    <w:p w:rsidR="00902FD0" w:rsidRPr="00902FD0" w:rsidRDefault="00902FD0" w:rsidP="00902FD0">
      <w:pPr>
        <w:jc w:val="both"/>
        <w:rPr>
          <w:rFonts w:ascii="Arial" w:hAnsi="Arial" w:cs="Arial"/>
          <w:b/>
          <w:bCs/>
        </w:rPr>
      </w:pPr>
      <w:r w:rsidRPr="00902FD0">
        <w:rPr>
          <w:rFonts w:ascii="Arial" w:hAnsi="Arial" w:cs="Arial"/>
          <w:b/>
          <w:bCs/>
        </w:rPr>
        <w:t>Das Bundesarbeitsgericht weist Beschwerde ab</w:t>
      </w:r>
    </w:p>
    <w:p w:rsidR="00902FD0" w:rsidRDefault="00902FD0" w:rsidP="00902FD0">
      <w:pPr>
        <w:jc w:val="both"/>
        <w:rPr>
          <w:rFonts w:ascii="Arial" w:hAnsi="Arial" w:cs="Arial"/>
        </w:rPr>
      </w:pPr>
      <w:r w:rsidRPr="00351B9D">
        <w:rPr>
          <w:rFonts w:ascii="Arial" w:hAnsi="Arial" w:cs="Arial"/>
        </w:rPr>
        <w:t>Das Bundesarbeitsgericht, Beschluss vom 17.10.2023, Az. 1 ABR 24/22, wies die Beschwerde gegen das Verbot der privaten Handynutzung ab. Die Weisung sei nicht zustimmungspflichtig. Dies begründete das höchste deutsche Arbeitsgericht damit, dass die Weisung nicht das unmittelbare Arbeitsverhalten der Arbeitnehmer betreffe.</w:t>
      </w:r>
    </w:p>
    <w:p w:rsidR="00902FD0" w:rsidRPr="00351B9D" w:rsidRDefault="00902FD0" w:rsidP="00902FD0">
      <w:pPr>
        <w:jc w:val="both"/>
        <w:rPr>
          <w:rFonts w:ascii="Arial" w:hAnsi="Arial" w:cs="Arial"/>
        </w:rPr>
      </w:pPr>
    </w:p>
    <w:p w:rsidR="00902FD0" w:rsidRPr="00902FD0" w:rsidRDefault="00902FD0" w:rsidP="00902FD0">
      <w:pPr>
        <w:jc w:val="both"/>
        <w:rPr>
          <w:rFonts w:ascii="Arial" w:hAnsi="Arial" w:cs="Arial"/>
          <w:b/>
          <w:bCs/>
        </w:rPr>
      </w:pPr>
      <w:r w:rsidRPr="00902FD0">
        <w:rPr>
          <w:rFonts w:ascii="Arial" w:hAnsi="Arial" w:cs="Arial"/>
          <w:b/>
          <w:bCs/>
        </w:rPr>
        <w:t>Hinweise für die Praxis</w:t>
      </w:r>
    </w:p>
    <w:p w:rsidR="00902FD0" w:rsidRDefault="00902FD0" w:rsidP="00902FD0">
      <w:pPr>
        <w:jc w:val="both"/>
        <w:rPr>
          <w:rFonts w:ascii="Arial" w:hAnsi="Arial" w:cs="Arial"/>
        </w:rPr>
      </w:pPr>
      <w:r w:rsidRPr="00351B9D">
        <w:rPr>
          <w:rFonts w:ascii="Arial" w:hAnsi="Arial" w:cs="Arial"/>
        </w:rPr>
        <w:t>Der Arbeitgeber kann somit die private Handynutzung untersagen. Der Betriebsrat hat daher kein Mitspracherecht. Arbeitnehmer müssen sich an entsprechende Weisungen der Arbeitgeber halten. Halten diese sich nicht daran, müssen sie arbeitsrechtliche Konsequenzen befürchten.</w:t>
      </w:r>
    </w:p>
    <w:p w:rsidR="00902FD0" w:rsidRDefault="00902FD0" w:rsidP="00902FD0">
      <w:pPr>
        <w:jc w:val="both"/>
        <w:rPr>
          <w:rFonts w:ascii="Arial" w:hAnsi="Arial" w:cs="Arial"/>
        </w:rPr>
      </w:pPr>
    </w:p>
    <w:p w:rsidR="00902FD0" w:rsidRPr="00605BBE" w:rsidRDefault="00902FD0" w:rsidP="00902FD0">
      <w:pPr>
        <w:jc w:val="both"/>
        <w:rPr>
          <w:rFonts w:ascii="Arial" w:hAnsi="Arial" w:cs="Arial"/>
        </w:rPr>
      </w:pPr>
      <w:r w:rsidRPr="00B17320">
        <w:rPr>
          <w:rFonts w:ascii="Arial" w:hAnsi="Arial" w:cs="Arial"/>
        </w:rPr>
        <w:lastRenderedPageBreak/>
        <w:t>Görzel</w:t>
      </w:r>
      <w:r w:rsidRPr="00B14F16">
        <w:rPr>
          <w:rFonts w:ascii="Arial" w:hAnsi="Arial" w:cs="Arial"/>
        </w:rPr>
        <w:t xml:space="preserve"> empfahl, die</w:t>
      </w:r>
      <w:r>
        <w:rPr>
          <w:rFonts w:ascii="Arial" w:hAnsi="Arial" w:cs="Arial"/>
        </w:rPr>
        <w:t>s</w:t>
      </w:r>
      <w:r w:rsidRPr="00B14F16">
        <w:rPr>
          <w:rFonts w:ascii="Arial" w:hAnsi="Arial" w:cs="Arial"/>
        </w:rPr>
        <w:t xml:space="preserve"> zu beachten und in Zweifelsfällen rechtlichen Rat einzuholen, wobei er u. a. dazu auch auf den VDAA</w:t>
      </w:r>
      <w:r>
        <w:rPr>
          <w:rFonts w:ascii="Arial" w:hAnsi="Arial" w:cs="Arial"/>
        </w:rPr>
        <w:t>-</w:t>
      </w:r>
      <w:r w:rsidRPr="00B14F16">
        <w:rPr>
          <w:rFonts w:ascii="Arial" w:hAnsi="Arial" w:cs="Arial"/>
        </w:rPr>
        <w:t xml:space="preserve">Verband deutscher ArbeitsrechtsAnwälte e. V. </w:t>
      </w:r>
      <w:hyperlink r:id="rId7" w:history="1">
        <w:r w:rsidRPr="00902FD0">
          <w:rPr>
            <w:rStyle w:val="Hyperlink"/>
            <w:rFonts w:ascii="Arial" w:hAnsi="Arial" w:cs="Arial"/>
          </w:rPr>
          <w:t>– www.vdaa.de</w:t>
        </w:r>
      </w:hyperlink>
      <w:r w:rsidRPr="00B14F16">
        <w:rPr>
          <w:rFonts w:ascii="Arial" w:hAnsi="Arial" w:cs="Arial"/>
        </w:rPr>
        <w:t xml:space="preserve"> – verwies</w:t>
      </w:r>
      <w:r w:rsidRPr="00B14F16">
        <w:rPr>
          <w:rFonts w:ascii="Arial" w:hAnsi="Arial" w:cs="Arial"/>
          <w:b/>
        </w:rPr>
        <w:t>.</w:t>
      </w:r>
    </w:p>
    <w:p w:rsidR="00C12AF5" w:rsidRPr="00894DA7" w:rsidRDefault="00C12AF5" w:rsidP="00902FD0">
      <w:pPr>
        <w:widowControl w:val="0"/>
        <w:jc w:val="both"/>
        <w:rPr>
          <w:rFonts w:ascii="Arial" w:eastAsia="Times New Roman" w:hAnsi="Arial" w:cs="Arial"/>
          <w:lang w:eastAsia="de-DE"/>
        </w:rPr>
      </w:pPr>
    </w:p>
    <w:p w:rsidR="00754185" w:rsidRPr="000B0847" w:rsidRDefault="00754185" w:rsidP="00902FD0">
      <w:pPr>
        <w:spacing w:line="240" w:lineRule="auto"/>
        <w:jc w:val="both"/>
        <w:rPr>
          <w:rFonts w:ascii="Arial" w:eastAsia="Calibri" w:hAnsi="Arial" w:cs="Arial"/>
          <w:color w:val="000000"/>
        </w:rPr>
      </w:pPr>
      <w:r w:rsidRPr="00174C7B">
        <w:rPr>
          <w:rFonts w:ascii="Arial" w:eastAsia="Calibri" w:hAnsi="Arial" w:cs="Arial"/>
          <w:color w:val="000000"/>
          <w:sz w:val="20"/>
          <w:szCs w:val="20"/>
        </w:rPr>
        <w:t>Der Autor ist Mitglied des VDAA Verband deutscher Arbeitsrechtsanwälte e. V.</w:t>
      </w:r>
    </w:p>
    <w:p w:rsidR="002D579A" w:rsidRDefault="002D579A" w:rsidP="00902FD0">
      <w:pPr>
        <w:spacing w:line="240" w:lineRule="auto"/>
        <w:jc w:val="both"/>
        <w:rPr>
          <w:rFonts w:ascii="Arial" w:hAnsi="Arial" w:cs="Arial"/>
          <w:sz w:val="20"/>
          <w:szCs w:val="20"/>
        </w:rPr>
      </w:pPr>
    </w:p>
    <w:p w:rsidR="00023097" w:rsidRPr="00CF7AC2" w:rsidRDefault="00023097" w:rsidP="00902FD0">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Für Rückfragen steht Ihnen der Autor gerne zur Verfügung.</w:t>
      </w:r>
    </w:p>
    <w:p w:rsidR="00023097" w:rsidRPr="00CF7AC2" w:rsidRDefault="00023097" w:rsidP="00902FD0">
      <w:pPr>
        <w:autoSpaceDE w:val="0"/>
        <w:autoSpaceDN w:val="0"/>
        <w:adjustRightInd w:val="0"/>
        <w:spacing w:line="240" w:lineRule="auto"/>
        <w:jc w:val="both"/>
        <w:rPr>
          <w:rFonts w:ascii="Arial" w:eastAsia="Calibri" w:hAnsi="Arial" w:cs="Arial"/>
          <w:color w:val="000000"/>
          <w:sz w:val="20"/>
          <w:szCs w:val="20"/>
        </w:rPr>
      </w:pPr>
    </w:p>
    <w:p w:rsidR="00023097" w:rsidRPr="00CF7AC2" w:rsidRDefault="00023097" w:rsidP="00902FD0">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Volker Görzel </w:t>
      </w:r>
    </w:p>
    <w:p w:rsidR="00023097" w:rsidRPr="00CF7AC2" w:rsidRDefault="00023097" w:rsidP="00902FD0">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Rechtsanwalt, Fachanwalt für Arbeitsrecht </w:t>
      </w:r>
    </w:p>
    <w:p w:rsidR="00023097" w:rsidRPr="00CF7AC2" w:rsidRDefault="00023097" w:rsidP="00902FD0">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HMS. Barthelmeß Görzel Rechtsanwälte </w:t>
      </w:r>
    </w:p>
    <w:p w:rsidR="00023097" w:rsidRPr="00CF7AC2" w:rsidRDefault="00023097" w:rsidP="00902FD0">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Hohenstaufenring 57 a </w:t>
      </w:r>
    </w:p>
    <w:p w:rsidR="00023097" w:rsidRPr="00CF7AC2" w:rsidRDefault="00023097" w:rsidP="00902FD0">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50674 Köln </w:t>
      </w:r>
    </w:p>
    <w:p w:rsidR="00023097" w:rsidRPr="00CF7AC2" w:rsidRDefault="00023097" w:rsidP="00902FD0">
      <w:pPr>
        <w:autoSpaceDE w:val="0"/>
        <w:autoSpaceDN w:val="0"/>
        <w:adjustRightInd w:val="0"/>
        <w:spacing w:line="240" w:lineRule="auto"/>
        <w:jc w:val="both"/>
        <w:rPr>
          <w:rFonts w:ascii="Arial" w:eastAsia="Calibri" w:hAnsi="Arial" w:cs="Arial"/>
          <w:color w:val="000000"/>
          <w:sz w:val="20"/>
          <w:szCs w:val="20"/>
        </w:rPr>
      </w:pPr>
      <w:r w:rsidRPr="00CF7AC2">
        <w:rPr>
          <w:rFonts w:ascii="Arial" w:eastAsia="Calibri" w:hAnsi="Arial" w:cs="Arial"/>
          <w:color w:val="000000"/>
          <w:sz w:val="20"/>
          <w:szCs w:val="20"/>
        </w:rPr>
        <w:t xml:space="preserve">Telefon: 0221/ 29 21 92 0 Telefax: 0221/ 29 21 92 25 </w:t>
      </w:r>
    </w:p>
    <w:p w:rsidR="00023097" w:rsidRDefault="00023097" w:rsidP="00902FD0">
      <w:pPr>
        <w:spacing w:line="240" w:lineRule="auto"/>
        <w:jc w:val="both"/>
        <w:rPr>
          <w:rFonts w:ascii="Arial" w:eastAsia="Calibri" w:hAnsi="Arial" w:cs="Times New Roman"/>
          <w:color w:val="0000FF"/>
          <w:sz w:val="20"/>
          <w:szCs w:val="20"/>
        </w:rPr>
      </w:pPr>
      <w:r w:rsidRPr="00CF7AC2">
        <w:rPr>
          <w:rFonts w:ascii="Arial" w:eastAsia="Calibri" w:hAnsi="Arial" w:cs="Times New Roman"/>
          <w:color w:val="0000FF"/>
          <w:sz w:val="20"/>
          <w:szCs w:val="20"/>
        </w:rPr>
        <w:t xml:space="preserve">goerzel@hms-bg.de </w:t>
      </w:r>
      <w:hyperlink r:id="rId8" w:history="1">
        <w:r w:rsidR="00902FD0" w:rsidRPr="00394C02">
          <w:rPr>
            <w:rStyle w:val="Hyperlink"/>
            <w:rFonts w:ascii="Arial" w:eastAsia="Calibri" w:hAnsi="Arial"/>
            <w:sz w:val="20"/>
            <w:szCs w:val="20"/>
          </w:rPr>
          <w:t>www.hms-bg.de</w:t>
        </w:r>
      </w:hyperlink>
    </w:p>
    <w:p w:rsidR="00902FD0" w:rsidRPr="00894DA7" w:rsidRDefault="00902FD0" w:rsidP="00902FD0">
      <w:pPr>
        <w:spacing w:line="240" w:lineRule="auto"/>
        <w:jc w:val="both"/>
        <w:rPr>
          <w:rFonts w:ascii="Arial" w:eastAsia="Calibri" w:hAnsi="Arial" w:cs="Times New Roman"/>
        </w:rPr>
      </w:pPr>
    </w:p>
    <w:sectPr w:rsidR="00902FD0" w:rsidRPr="00894DA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A9D" w:rsidRDefault="00CF0A9D" w:rsidP="009B4B62">
      <w:pPr>
        <w:spacing w:line="240" w:lineRule="auto"/>
      </w:pPr>
      <w:r>
        <w:separator/>
      </w:r>
    </w:p>
  </w:endnote>
  <w:endnote w:type="continuationSeparator" w:id="0">
    <w:p w:rsidR="00CF0A9D" w:rsidRDefault="00CF0A9D" w:rsidP="009B4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A9D" w:rsidRDefault="00CF0A9D" w:rsidP="009B4B62">
      <w:pPr>
        <w:spacing w:line="240" w:lineRule="auto"/>
      </w:pPr>
      <w:r>
        <w:separator/>
      </w:r>
    </w:p>
  </w:footnote>
  <w:footnote w:type="continuationSeparator" w:id="0">
    <w:p w:rsidR="00CF0A9D" w:rsidRDefault="00CF0A9D" w:rsidP="009B4B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1D4" w:rsidRDefault="004611D4" w:rsidP="004611D4">
    <w:pPr>
      <w:tabs>
        <w:tab w:val="left" w:pos="3000"/>
        <w:tab w:val="left" w:pos="6804"/>
      </w:tabs>
      <w:spacing w:before="100" w:beforeAutospacing="1" w:after="100" w:afterAutospacing="1" w:line="240" w:lineRule="auto"/>
      <w:jc w:val="right"/>
      <w:outlineLvl w:val="0"/>
      <w:rPr>
        <w:rFonts w:ascii="Arial" w:eastAsia="Calibri" w:hAnsi="Arial" w:cs="Times New Roman"/>
        <w:b/>
        <w:noProof/>
        <w:sz w:val="24"/>
        <w:szCs w:val="24"/>
        <w:lang w:eastAsia="de-DE"/>
      </w:rPr>
    </w:pPr>
    <w:r>
      <w:rPr>
        <w:noProof/>
        <w:lang w:eastAsia="de-DE"/>
      </w:rPr>
      <w:drawing>
        <wp:inline distT="0" distB="0" distL="0" distR="0" wp14:anchorId="66590C18" wp14:editId="0131E318">
          <wp:extent cx="1330353" cy="559134"/>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VDAA.jpg"/>
                  <pic:cNvPicPr/>
                </pic:nvPicPr>
                <pic:blipFill>
                  <a:blip r:embed="rId1">
                    <a:extLst>
                      <a:ext uri="{28A0092B-C50C-407E-A947-70E740481C1C}">
                        <a14:useLocalDpi xmlns:a14="http://schemas.microsoft.com/office/drawing/2010/main" val="0"/>
                      </a:ext>
                    </a:extLst>
                  </a:blip>
                  <a:stretch>
                    <a:fillRect/>
                  </a:stretch>
                </pic:blipFill>
                <pic:spPr>
                  <a:xfrm>
                    <a:off x="0" y="0"/>
                    <a:ext cx="1330353" cy="559134"/>
                  </a:xfrm>
                  <a:prstGeom prst="rect">
                    <a:avLst/>
                  </a:prstGeom>
                </pic:spPr>
              </pic:pic>
            </a:graphicData>
          </a:graphic>
        </wp:inline>
      </w:drawing>
    </w:r>
  </w:p>
  <w:p w:rsidR="004611D4" w:rsidRPr="00AD1612" w:rsidRDefault="004611D4" w:rsidP="004611D4">
    <w:pPr>
      <w:tabs>
        <w:tab w:val="left" w:pos="3000"/>
        <w:tab w:val="left" w:pos="6804"/>
      </w:tabs>
      <w:spacing w:before="100" w:beforeAutospacing="1" w:after="100" w:afterAutospacing="1" w:line="240" w:lineRule="auto"/>
      <w:jc w:val="center"/>
      <w:outlineLvl w:val="0"/>
      <w:rPr>
        <w:rFonts w:ascii="Arial" w:eastAsia="Calibri" w:hAnsi="Arial" w:cs="Times New Roman"/>
        <w:b/>
        <w:noProof/>
        <w:sz w:val="28"/>
        <w:szCs w:val="28"/>
        <w:lang w:eastAsia="de-DE"/>
      </w:rPr>
    </w:pPr>
    <w:r w:rsidRPr="00AD1612">
      <w:rPr>
        <w:rFonts w:ascii="Arial" w:eastAsia="Calibri" w:hAnsi="Arial" w:cs="Times New Roman"/>
        <w:b/>
        <w:noProof/>
        <w:sz w:val="28"/>
        <w:szCs w:val="28"/>
        <w:lang w:eastAsia="de-DE"/>
      </w:rPr>
      <w:t>VDAA- Arbeitsrechtsdepesche 01-2024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20570"/>
    <w:multiLevelType w:val="hybridMultilevel"/>
    <w:tmpl w:val="FA2C03E2"/>
    <w:lvl w:ilvl="0" w:tplc="3F167C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CA24DB"/>
    <w:multiLevelType w:val="hybridMultilevel"/>
    <w:tmpl w:val="6CB603EE"/>
    <w:lvl w:ilvl="0" w:tplc="2A100E6A">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5EB2662"/>
    <w:multiLevelType w:val="hybridMultilevel"/>
    <w:tmpl w:val="3CF6134E"/>
    <w:lvl w:ilvl="0" w:tplc="CA6E924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C8C0C34"/>
    <w:multiLevelType w:val="hybridMultilevel"/>
    <w:tmpl w:val="3A903892"/>
    <w:lvl w:ilvl="0" w:tplc="25A0AEC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6B"/>
    <w:rsid w:val="00023097"/>
    <w:rsid w:val="001930DC"/>
    <w:rsid w:val="001B48F6"/>
    <w:rsid w:val="001F4F9F"/>
    <w:rsid w:val="002D579A"/>
    <w:rsid w:val="004611D4"/>
    <w:rsid w:val="00481026"/>
    <w:rsid w:val="00547C0C"/>
    <w:rsid w:val="00550B88"/>
    <w:rsid w:val="00577997"/>
    <w:rsid w:val="005E0CD6"/>
    <w:rsid w:val="00654E41"/>
    <w:rsid w:val="00754185"/>
    <w:rsid w:val="00894DA7"/>
    <w:rsid w:val="00902FD0"/>
    <w:rsid w:val="009B4B62"/>
    <w:rsid w:val="00AD4F66"/>
    <w:rsid w:val="00AF1B6B"/>
    <w:rsid w:val="00C12AF5"/>
    <w:rsid w:val="00CF0A9D"/>
    <w:rsid w:val="00DF5004"/>
    <w:rsid w:val="00E31452"/>
    <w:rsid w:val="00ED2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F3D4F-728C-40BD-A4E0-F0A4A757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F1B6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uiPriority w:val="99"/>
    <w:rsid w:val="00AF1B6B"/>
    <w:rPr>
      <w:rFonts w:ascii="Times New Roman" w:hAnsi="Times New Roman" w:cs="Times New Roman"/>
      <w:color w:val="0000FF"/>
      <w:u w:val="single"/>
    </w:rPr>
  </w:style>
  <w:style w:type="paragraph" w:styleId="Listenabsatz">
    <w:name w:val="List Paragraph"/>
    <w:basedOn w:val="Standard"/>
    <w:uiPriority w:val="99"/>
    <w:qFormat/>
    <w:rsid w:val="00902FD0"/>
    <w:pPr>
      <w:spacing w:line="240" w:lineRule="auto"/>
      <w:ind w:left="720"/>
    </w:pPr>
    <w:rPr>
      <w:rFonts w:ascii="Calibri" w:eastAsia="Times New Roman" w:hAnsi="Calibri" w:cs="Calibri"/>
      <w:sz w:val="24"/>
      <w:szCs w:val="24"/>
    </w:rPr>
  </w:style>
  <w:style w:type="character" w:customStyle="1" w:styleId="NichtaufgelsteErwhnung1">
    <w:name w:val="Nicht aufgelöste Erwähnung1"/>
    <w:basedOn w:val="Absatz-Standardschriftart"/>
    <w:uiPriority w:val="99"/>
    <w:semiHidden/>
    <w:unhideWhenUsed/>
    <w:rsid w:val="00902FD0"/>
    <w:rPr>
      <w:color w:val="605E5C"/>
      <w:shd w:val="clear" w:color="auto" w:fill="E1DFDD"/>
    </w:rPr>
  </w:style>
  <w:style w:type="character" w:customStyle="1" w:styleId="freetext-description">
    <w:name w:val="freetext-description"/>
    <w:basedOn w:val="Absatz-Standardschriftart"/>
    <w:rsid w:val="009B4B62"/>
  </w:style>
  <w:style w:type="paragraph" w:styleId="Kopfzeile">
    <w:name w:val="header"/>
    <w:basedOn w:val="Standard"/>
    <w:link w:val="KopfzeileZchn"/>
    <w:uiPriority w:val="99"/>
    <w:unhideWhenUsed/>
    <w:rsid w:val="009B4B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B4B62"/>
  </w:style>
  <w:style w:type="paragraph" w:styleId="Fuzeile">
    <w:name w:val="footer"/>
    <w:basedOn w:val="Standard"/>
    <w:link w:val="FuzeileZchn"/>
    <w:uiPriority w:val="99"/>
    <w:unhideWhenUsed/>
    <w:rsid w:val="009B4B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B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file:///C:\Users\Henn\AppData\Local\Microsoft\Windows\INetCache\Content.Outlook\DU2FD6LE\&#8211;%20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2369</Characters>
  <Application>Microsoft Office Word</Application>
  <DocSecurity>0</DocSecurity>
  <Lines>65</Lines>
  <Paragraphs>39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dcterms:created xsi:type="dcterms:W3CDTF">2024-02-01T16:51:00Z</dcterms:created>
  <dcterms:modified xsi:type="dcterms:W3CDTF">2024-02-03T15:29:00Z</dcterms:modified>
</cp:coreProperties>
</file>