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7373" w14:textId="77777777" w:rsidR="009A56DF" w:rsidRPr="005803E6" w:rsidRDefault="009A56DF" w:rsidP="00D574B8">
      <w:pPr>
        <w:jc w:val="right"/>
        <w:rPr>
          <w:rFonts w:ascii="Arial" w:hAnsi="Arial" w:cs="Arial"/>
          <w:color w:val="000000" w:themeColor="text1"/>
        </w:rPr>
      </w:pPr>
      <w:bookmarkStart w:id="0" w:name="_Hlk22231110"/>
      <w:r w:rsidRPr="005803E6">
        <w:rPr>
          <w:rFonts w:ascii="Arial" w:eastAsia="Times New Roman" w:hAnsi="Arial" w:cs="Arial"/>
          <w:noProof/>
          <w:color w:val="000000" w:themeColor="text1"/>
          <w:sz w:val="24"/>
          <w:szCs w:val="24"/>
          <w:lang w:eastAsia="de-DE"/>
        </w:rPr>
        <w:drawing>
          <wp:inline distT="0" distB="0" distL="0" distR="0" wp14:anchorId="0188E4C6" wp14:editId="7BBD3DAB">
            <wp:extent cx="1314450" cy="5524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0"/>
    </w:p>
    <w:p w14:paraId="4464BA4D" w14:textId="6DAA83D7" w:rsidR="009A56DF" w:rsidRPr="005803E6" w:rsidRDefault="009A56DF" w:rsidP="00D574B8">
      <w:pPr>
        <w:tabs>
          <w:tab w:val="center" w:pos="4536"/>
          <w:tab w:val="right" w:pos="9072"/>
        </w:tabs>
        <w:jc w:val="center"/>
        <w:rPr>
          <w:rFonts w:ascii="Arial" w:hAnsi="Arial" w:cs="Arial"/>
          <w:b/>
          <w:bCs/>
          <w:color w:val="000000" w:themeColor="text1"/>
          <w:sz w:val="20"/>
          <w:szCs w:val="20"/>
        </w:rPr>
      </w:pPr>
      <w:r w:rsidRPr="005803E6">
        <w:rPr>
          <w:rFonts w:ascii="Arial" w:hAnsi="Arial" w:cs="Arial"/>
          <w:b/>
          <w:bCs/>
          <w:color w:val="000000" w:themeColor="text1"/>
          <w:sz w:val="20"/>
          <w:szCs w:val="20"/>
        </w:rPr>
        <w:t xml:space="preserve">Urteile, die </w:t>
      </w:r>
      <w:r w:rsidR="00370FDF">
        <w:rPr>
          <w:rFonts w:ascii="Arial" w:hAnsi="Arial" w:cs="Arial"/>
          <w:b/>
          <w:bCs/>
          <w:color w:val="000000" w:themeColor="text1"/>
          <w:sz w:val="20"/>
          <w:szCs w:val="20"/>
        </w:rPr>
        <w:t xml:space="preserve">Ihre Leser </w:t>
      </w:r>
      <w:r w:rsidRPr="005803E6">
        <w:rPr>
          <w:rFonts w:ascii="Arial" w:hAnsi="Arial" w:cs="Arial"/>
          <w:b/>
          <w:bCs/>
          <w:color w:val="000000" w:themeColor="text1"/>
          <w:sz w:val="20"/>
          <w:szCs w:val="20"/>
        </w:rPr>
        <w:t>interessieren könnten</w:t>
      </w:r>
    </w:p>
    <w:p w14:paraId="674BE64D" w14:textId="77777777" w:rsidR="009A56DF" w:rsidRPr="005803E6" w:rsidRDefault="009A56DF" w:rsidP="00D574B8">
      <w:pPr>
        <w:tabs>
          <w:tab w:val="center" w:pos="4536"/>
          <w:tab w:val="right" w:pos="9072"/>
        </w:tabs>
        <w:jc w:val="center"/>
        <w:rPr>
          <w:rFonts w:ascii="Arial" w:eastAsia="ヒラギノ角ゴ Pro W3" w:hAnsi="Arial" w:cs="Arial"/>
          <w:b/>
          <w:bCs/>
          <w:color w:val="000000" w:themeColor="text1"/>
          <w:sz w:val="20"/>
          <w:szCs w:val="20"/>
        </w:rPr>
      </w:pPr>
    </w:p>
    <w:p w14:paraId="65CF0478" w14:textId="77777777" w:rsidR="009A56DF" w:rsidRPr="005803E6" w:rsidRDefault="009A56DF" w:rsidP="00D574B8">
      <w:pPr>
        <w:jc w:val="center"/>
        <w:rPr>
          <w:rFonts w:ascii="Arial" w:hAnsi="Arial" w:cs="Arial"/>
          <w:color w:val="000000" w:themeColor="text1"/>
          <w:sz w:val="20"/>
          <w:szCs w:val="20"/>
        </w:rPr>
      </w:pPr>
      <w:r w:rsidRPr="005803E6">
        <w:rPr>
          <w:rFonts w:ascii="Arial" w:hAnsi="Arial" w:cs="Arial"/>
          <w:color w:val="000000" w:themeColor="text1"/>
          <w:sz w:val="20"/>
          <w:szCs w:val="20"/>
        </w:rPr>
        <w:t>zusammengestellt von Rechtsanwalt/Fachanwalt für Arbeitsrecht u. Fachanwalt für Erbrecht</w:t>
      </w:r>
    </w:p>
    <w:p w14:paraId="51EB4A08" w14:textId="77777777" w:rsidR="009A56DF" w:rsidRPr="005803E6" w:rsidRDefault="009A56DF" w:rsidP="00D574B8">
      <w:pPr>
        <w:jc w:val="center"/>
        <w:rPr>
          <w:rFonts w:ascii="Arial" w:hAnsi="Arial" w:cs="Arial"/>
          <w:color w:val="000000" w:themeColor="text1"/>
          <w:sz w:val="20"/>
          <w:szCs w:val="20"/>
        </w:rPr>
      </w:pPr>
      <w:r w:rsidRPr="005803E6">
        <w:rPr>
          <w:rFonts w:ascii="Arial" w:hAnsi="Arial" w:cs="Arial"/>
          <w:color w:val="000000" w:themeColor="text1"/>
          <w:sz w:val="20"/>
          <w:szCs w:val="20"/>
        </w:rPr>
        <w:t>Michael Henn, Stuttgart</w:t>
      </w:r>
    </w:p>
    <w:p w14:paraId="4A83F7F6" w14:textId="77777777" w:rsidR="00CC485E" w:rsidRPr="005803E6" w:rsidRDefault="00CC485E" w:rsidP="00D574B8">
      <w:pPr>
        <w:rPr>
          <w:rFonts w:ascii="Arial" w:eastAsia="Calibri" w:hAnsi="Arial" w:cs="Arial"/>
          <w:b/>
          <w:bCs/>
          <w:color w:val="000000" w:themeColor="text1"/>
          <w:sz w:val="20"/>
          <w:szCs w:val="20"/>
          <w:lang w:eastAsia="de-DE"/>
        </w:rPr>
      </w:pPr>
    </w:p>
    <w:p w14:paraId="43CC7727" w14:textId="77777777" w:rsidR="00031F13" w:rsidRPr="005803E6" w:rsidRDefault="00031F13" w:rsidP="00D574B8">
      <w:pPr>
        <w:keepNext/>
        <w:ind w:left="1080" w:hanging="720"/>
        <w:jc w:val="center"/>
        <w:rPr>
          <w:rFonts w:ascii="Arial" w:hAnsi="Arial" w:cs="Arial"/>
          <w:b/>
          <w:color w:val="000000" w:themeColor="text1"/>
        </w:rPr>
      </w:pPr>
      <w:r w:rsidRPr="005803E6">
        <w:rPr>
          <w:rFonts w:ascii="Arial" w:hAnsi="Arial" w:cs="Arial"/>
          <w:b/>
          <w:color w:val="000000" w:themeColor="text1"/>
        </w:rPr>
        <w:t>I.</w:t>
      </w:r>
    </w:p>
    <w:p w14:paraId="1603E465" w14:textId="77777777" w:rsidR="00031F13" w:rsidRPr="005803E6" w:rsidRDefault="00031F13" w:rsidP="00D574B8">
      <w:pPr>
        <w:jc w:val="center"/>
        <w:rPr>
          <w:rFonts w:ascii="Arial" w:hAnsi="Arial" w:cs="Arial"/>
          <w:b/>
          <w:bCs/>
          <w:color w:val="000000" w:themeColor="text1"/>
        </w:rPr>
      </w:pPr>
      <w:r w:rsidRPr="005803E6">
        <w:rPr>
          <w:rFonts w:ascii="Arial" w:hAnsi="Arial" w:cs="Arial"/>
          <w:b/>
          <w:bCs/>
          <w:color w:val="000000" w:themeColor="text1"/>
        </w:rPr>
        <w:t xml:space="preserve">Bundesarbeitsgericht </w:t>
      </w:r>
    </w:p>
    <w:p w14:paraId="2E5DA646" w14:textId="77777777" w:rsidR="00031F13" w:rsidRPr="005803E6" w:rsidRDefault="00031F13" w:rsidP="00D574B8">
      <w:pPr>
        <w:jc w:val="center"/>
        <w:rPr>
          <w:rFonts w:ascii="Arial" w:hAnsi="Arial" w:cs="Arial"/>
          <w:color w:val="000000" w:themeColor="text1"/>
          <w:sz w:val="20"/>
          <w:szCs w:val="20"/>
        </w:rPr>
      </w:pPr>
      <w:r w:rsidRPr="005803E6">
        <w:rPr>
          <w:rFonts w:ascii="Arial" w:hAnsi="Arial" w:cs="Arial"/>
          <w:bCs/>
          <w:color w:val="000000" w:themeColor="text1"/>
          <w:sz w:val="20"/>
          <w:szCs w:val="20"/>
        </w:rPr>
        <w:t>Beschluss vom 23. Mai 2024 – 6 AZR 152/22 (A)</w:t>
      </w:r>
    </w:p>
    <w:p w14:paraId="59C08C04" w14:textId="77777777" w:rsidR="00031F13" w:rsidRPr="005803E6" w:rsidRDefault="00031F13" w:rsidP="00D574B8">
      <w:pPr>
        <w:jc w:val="both"/>
        <w:rPr>
          <w:rFonts w:ascii="Arial" w:hAnsi="Arial" w:cs="Arial"/>
          <w:b/>
          <w:bCs/>
          <w:color w:val="000000" w:themeColor="text1"/>
          <w:sz w:val="20"/>
          <w:szCs w:val="20"/>
          <w:u w:val="single"/>
        </w:rPr>
      </w:pPr>
    </w:p>
    <w:p w14:paraId="4AC86552"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Schlagworte/Normen:</w:t>
      </w:r>
    </w:p>
    <w:p w14:paraId="04E3DBE6"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rPr>
        <w:t>Massenentlassung - Rechtsfolgen von Fehlern im Anzeigeverfahren - ergänzende Vorlage</w:t>
      </w:r>
    </w:p>
    <w:p w14:paraId="3477C99E" w14:textId="77777777" w:rsidR="00031F13" w:rsidRPr="005803E6" w:rsidRDefault="00031F13" w:rsidP="00D574B8">
      <w:pPr>
        <w:jc w:val="both"/>
        <w:rPr>
          <w:rFonts w:ascii="Arial" w:hAnsi="Arial" w:cs="Arial"/>
          <w:b/>
          <w:bCs/>
          <w:color w:val="000000" w:themeColor="text1"/>
          <w:sz w:val="20"/>
          <w:szCs w:val="20"/>
          <w:u w:val="single"/>
        </w:rPr>
      </w:pPr>
    </w:p>
    <w:p w14:paraId="727E7BAD"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Volltext PE:</w:t>
      </w:r>
    </w:p>
    <w:p w14:paraId="795B8E69" w14:textId="77777777" w:rsidR="00031F13" w:rsidRPr="005803E6" w:rsidRDefault="00031F13" w:rsidP="00D574B8">
      <w:pPr>
        <w:jc w:val="both"/>
        <w:rPr>
          <w:rFonts w:ascii="Arial" w:hAnsi="Arial" w:cs="Arial"/>
          <w:color w:val="000000" w:themeColor="text1"/>
        </w:rPr>
      </w:pPr>
      <w:r w:rsidRPr="005803E6">
        <w:rPr>
          <w:rFonts w:ascii="Arial" w:hAnsi="Arial" w:cs="Arial"/>
          <w:color w:val="000000" w:themeColor="text1"/>
          <w:sz w:val="20"/>
          <w:szCs w:val="20"/>
        </w:rPr>
        <w:t>Die Parteien streiten über die Wirksamkeit einer Kündigung im Rahmen einer Massenentlassung. Entscheidungserheblich ist, ob diese bei der Agentur für Arbeit ordnungsgemäß angezeigt wurde.</w:t>
      </w:r>
    </w:p>
    <w:p w14:paraId="48734802" w14:textId="77777777" w:rsidR="00031F13" w:rsidRPr="005803E6" w:rsidRDefault="00031F13" w:rsidP="00D574B8">
      <w:pPr>
        <w:jc w:val="both"/>
        <w:rPr>
          <w:rFonts w:ascii="Arial" w:hAnsi="Arial" w:cs="Arial"/>
          <w:color w:val="000000" w:themeColor="text1"/>
          <w:sz w:val="20"/>
          <w:szCs w:val="20"/>
        </w:rPr>
      </w:pPr>
    </w:p>
    <w:p w14:paraId="099E43EE" w14:textId="77777777" w:rsidR="00031F13" w:rsidRPr="005803E6" w:rsidRDefault="00031F13" w:rsidP="00D574B8">
      <w:pPr>
        <w:jc w:val="both"/>
        <w:rPr>
          <w:rFonts w:ascii="Arial" w:hAnsi="Arial" w:cs="Arial"/>
          <w:color w:val="000000" w:themeColor="text1"/>
        </w:rPr>
      </w:pPr>
      <w:r w:rsidRPr="005803E6">
        <w:rPr>
          <w:rFonts w:ascii="Arial" w:hAnsi="Arial" w:cs="Arial"/>
          <w:color w:val="000000" w:themeColor="text1"/>
          <w:sz w:val="20"/>
          <w:szCs w:val="20"/>
        </w:rPr>
        <w:t>Der Sechste Senat des Bundesarbeitsgerichts hat durch Beschluss vom 14. Dezember 2023 – 6 AZR 157/22 (B) – nach § 45 Abs. 3 Satz 1 ArbGG bei dem Zweiten Senat des Bundesarbeitsgerichts angefragt, ob dieser an seiner Rechtsauffassung festhält, dass eine im Rahmen einer Massenentlassung erklärte Kündigung nichtig ist, wenn im Zeitpunkt ihres Zugangs keine oder eine fehlerhafte Anzeige nach § 17 Abs. 1 und Abs. 3 KSchG vorliegt (vgl. Pressemitteilung Nr. 46/23).</w:t>
      </w:r>
    </w:p>
    <w:p w14:paraId="17A0B4B7" w14:textId="77777777" w:rsidR="00031F13" w:rsidRPr="005803E6" w:rsidRDefault="00031F13" w:rsidP="00D574B8">
      <w:pPr>
        <w:jc w:val="both"/>
        <w:rPr>
          <w:rFonts w:ascii="Arial" w:hAnsi="Arial" w:cs="Arial"/>
          <w:color w:val="000000" w:themeColor="text1"/>
          <w:sz w:val="20"/>
          <w:szCs w:val="20"/>
        </w:rPr>
      </w:pPr>
    </w:p>
    <w:p w14:paraId="0B418D40" w14:textId="77777777" w:rsidR="00031F13" w:rsidRPr="005803E6" w:rsidRDefault="00031F13" w:rsidP="00D574B8">
      <w:pPr>
        <w:jc w:val="both"/>
        <w:rPr>
          <w:rFonts w:ascii="Arial" w:hAnsi="Arial" w:cs="Arial"/>
          <w:color w:val="000000" w:themeColor="text1"/>
        </w:rPr>
      </w:pPr>
      <w:r w:rsidRPr="005803E6">
        <w:rPr>
          <w:rFonts w:ascii="Arial" w:hAnsi="Arial" w:cs="Arial"/>
          <w:color w:val="000000" w:themeColor="text1"/>
          <w:sz w:val="20"/>
          <w:szCs w:val="20"/>
        </w:rPr>
        <w:t>Der Zweite Senat hat mit Beschluss vom 1. Februar 2024 – 2 AS 22/23 (A) – das Anfrageverfahren ausgesetzt und den Gerichtshof der Europäischen Union (EuGH) um die Beantwortung von erforderlichen Fragen zur Auslegung der den §§ 17 ff. KSchG zugrundeliegenden Richtlinie 98/59/EG des Rates vom 20. Juli 1998 zur Angleichung von Rechtsvorschriften der Mitgliedstaaten über Massenentlassungen ersucht (vgl. Pressemitteilung Nr. 4/24).</w:t>
      </w:r>
    </w:p>
    <w:p w14:paraId="6CD48FA3" w14:textId="77777777" w:rsidR="00031F13" w:rsidRPr="005803E6" w:rsidRDefault="00031F13" w:rsidP="00D574B8">
      <w:pPr>
        <w:jc w:val="both"/>
        <w:rPr>
          <w:rFonts w:ascii="Arial" w:hAnsi="Arial" w:cs="Arial"/>
          <w:color w:val="000000" w:themeColor="text1"/>
          <w:sz w:val="20"/>
          <w:szCs w:val="20"/>
        </w:rPr>
      </w:pPr>
    </w:p>
    <w:p w14:paraId="319753AE" w14:textId="77777777" w:rsidR="00031F13" w:rsidRPr="005803E6" w:rsidRDefault="00031F13" w:rsidP="00D574B8">
      <w:pPr>
        <w:jc w:val="both"/>
        <w:rPr>
          <w:rFonts w:ascii="Arial" w:hAnsi="Arial" w:cs="Arial"/>
          <w:color w:val="000000" w:themeColor="text1"/>
        </w:rPr>
      </w:pPr>
      <w:r w:rsidRPr="005803E6">
        <w:rPr>
          <w:rFonts w:ascii="Arial" w:hAnsi="Arial" w:cs="Arial"/>
          <w:color w:val="000000" w:themeColor="text1"/>
          <w:sz w:val="20"/>
          <w:szCs w:val="20"/>
        </w:rPr>
        <w:t>In Ergänzung dieser Vorlage hat der Sechste Senat mit Beschluss vom heutigen Tag den EuGH um die Auslegung des Unionsrechts ua. dazu ersucht, ob der Zweck der Massenentlassungsanzeige erfüllt ist, wenn die Agentur für Arbeit eine fehlerhafte Massenentlassungsanzeige nicht beanstandet und sich damit als ausreichend informiert betrachtet.</w:t>
      </w:r>
    </w:p>
    <w:p w14:paraId="1572109B" w14:textId="77777777" w:rsidR="00031F13" w:rsidRPr="005803E6" w:rsidRDefault="00031F13" w:rsidP="00D574B8">
      <w:pPr>
        <w:jc w:val="both"/>
        <w:rPr>
          <w:rFonts w:ascii="Arial" w:hAnsi="Arial" w:cs="Arial"/>
          <w:color w:val="000000" w:themeColor="text1"/>
          <w:sz w:val="20"/>
          <w:szCs w:val="20"/>
        </w:rPr>
      </w:pPr>
    </w:p>
    <w:p w14:paraId="53F3CE58" w14:textId="77777777" w:rsidR="00031F13" w:rsidRPr="005803E6" w:rsidRDefault="00031F13" w:rsidP="00D574B8">
      <w:pPr>
        <w:jc w:val="both"/>
        <w:rPr>
          <w:rFonts w:ascii="Arial" w:hAnsi="Arial" w:cs="Arial"/>
          <w:color w:val="000000" w:themeColor="text1"/>
        </w:rPr>
      </w:pPr>
      <w:r w:rsidRPr="005803E6">
        <w:rPr>
          <w:rFonts w:ascii="Arial" w:hAnsi="Arial" w:cs="Arial"/>
          <w:color w:val="000000" w:themeColor="text1"/>
          <w:sz w:val="20"/>
          <w:szCs w:val="20"/>
        </w:rPr>
        <w:t>Der genaue Wortlaut der Vorlagefragen ist nachzulesen auf www.bundesarbeitsgericht.de unter dem Menüpunkt „Sitzungsergebnisse“.</w:t>
      </w:r>
    </w:p>
    <w:p w14:paraId="4B3FDD1C" w14:textId="77777777" w:rsidR="00031F13" w:rsidRPr="005803E6" w:rsidRDefault="00031F13" w:rsidP="00D574B8">
      <w:pPr>
        <w:jc w:val="both"/>
        <w:rPr>
          <w:rFonts w:ascii="Arial" w:hAnsi="Arial" w:cs="Arial"/>
          <w:b/>
          <w:bCs/>
          <w:color w:val="000000" w:themeColor="text1"/>
          <w:sz w:val="20"/>
          <w:szCs w:val="20"/>
          <w:u w:val="single"/>
        </w:rPr>
      </w:pPr>
    </w:p>
    <w:p w14:paraId="6C125E86"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Siehe:</w:t>
      </w:r>
    </w:p>
    <w:p w14:paraId="17C13557" w14:textId="77777777" w:rsidR="00031F13" w:rsidRPr="005803E6" w:rsidRDefault="00370FDF" w:rsidP="00D574B8">
      <w:pPr>
        <w:jc w:val="both"/>
        <w:rPr>
          <w:rFonts w:ascii="Arial" w:hAnsi="Arial" w:cs="Arial"/>
          <w:color w:val="000000" w:themeColor="text1"/>
        </w:rPr>
      </w:pPr>
      <w:hyperlink r:id="rId8" w:tgtFrame="_blank" w:history="1">
        <w:r w:rsidR="00031F13" w:rsidRPr="005803E6">
          <w:rPr>
            <w:rStyle w:val="Hyperlink"/>
            <w:rFonts w:ascii="Arial" w:hAnsi="Arial" w:cs="Arial"/>
            <w:color w:val="000000" w:themeColor="text1"/>
            <w:sz w:val="20"/>
            <w:szCs w:val="20"/>
          </w:rPr>
          <w:t>https://www.bundesarbeitsgericht.de/presse/massenentlassung-rechtsfolgen-von-fehlern-im-anzeigeverfahren-ergaenzende-vorlage/</w:t>
        </w:r>
      </w:hyperlink>
    </w:p>
    <w:p w14:paraId="6A280B6B" w14:textId="77777777" w:rsidR="00031F13" w:rsidRPr="005803E6" w:rsidRDefault="00031F13" w:rsidP="00D574B8">
      <w:pPr>
        <w:keepNext/>
        <w:ind w:left="1080" w:hanging="720"/>
        <w:jc w:val="center"/>
        <w:rPr>
          <w:rFonts w:ascii="Arial" w:hAnsi="Arial" w:cs="Arial"/>
          <w:b/>
          <w:color w:val="000000" w:themeColor="text1"/>
        </w:rPr>
      </w:pPr>
      <w:r w:rsidRPr="005803E6">
        <w:rPr>
          <w:rFonts w:ascii="Arial" w:hAnsi="Arial" w:cs="Arial"/>
          <w:b/>
          <w:color w:val="000000" w:themeColor="text1"/>
        </w:rPr>
        <w:t>II.</w:t>
      </w:r>
    </w:p>
    <w:p w14:paraId="1D4AE648" w14:textId="77777777" w:rsidR="00A9452A" w:rsidRPr="005803E6" w:rsidRDefault="00031F13" w:rsidP="00D574B8">
      <w:pPr>
        <w:jc w:val="center"/>
        <w:rPr>
          <w:rFonts w:ascii="Arial" w:hAnsi="Arial" w:cs="Arial"/>
          <w:b/>
          <w:bCs/>
          <w:color w:val="000000" w:themeColor="text1"/>
        </w:rPr>
      </w:pPr>
      <w:r w:rsidRPr="005803E6">
        <w:rPr>
          <w:rFonts w:ascii="Arial" w:hAnsi="Arial" w:cs="Arial"/>
          <w:b/>
          <w:bCs/>
          <w:color w:val="000000" w:themeColor="text1"/>
        </w:rPr>
        <w:t xml:space="preserve">Bundesarbeitsgericht </w:t>
      </w:r>
    </w:p>
    <w:p w14:paraId="5D712CE6" w14:textId="77777777" w:rsidR="00031F13" w:rsidRPr="005803E6" w:rsidRDefault="00031F13" w:rsidP="00D574B8">
      <w:pPr>
        <w:jc w:val="center"/>
        <w:rPr>
          <w:rFonts w:ascii="Arial" w:hAnsi="Arial" w:cs="Arial"/>
          <w:color w:val="000000" w:themeColor="text1"/>
          <w:sz w:val="20"/>
          <w:szCs w:val="20"/>
        </w:rPr>
      </w:pPr>
      <w:r w:rsidRPr="005803E6">
        <w:rPr>
          <w:rFonts w:ascii="Arial" w:hAnsi="Arial" w:cs="Arial"/>
          <w:bCs/>
          <w:color w:val="000000" w:themeColor="text1"/>
          <w:sz w:val="20"/>
          <w:szCs w:val="20"/>
        </w:rPr>
        <w:t>Beschluss vom 23. Mai 2024 – 6 AZR 155/23 (A)</w:t>
      </w:r>
    </w:p>
    <w:p w14:paraId="59D45E1A" w14:textId="77777777" w:rsidR="00A9452A" w:rsidRPr="005803E6" w:rsidRDefault="00A9452A" w:rsidP="00D574B8">
      <w:pPr>
        <w:jc w:val="both"/>
        <w:rPr>
          <w:rFonts w:ascii="Arial" w:hAnsi="Arial" w:cs="Arial"/>
          <w:b/>
          <w:bCs/>
          <w:color w:val="000000" w:themeColor="text1"/>
          <w:sz w:val="20"/>
          <w:szCs w:val="20"/>
          <w:u w:val="single"/>
        </w:rPr>
      </w:pPr>
    </w:p>
    <w:p w14:paraId="432AF086"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Schlagworte/Normen:</w:t>
      </w:r>
    </w:p>
    <w:p w14:paraId="615A1FCA"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rPr>
        <w:t>Kontrollpflichten eines Rechtsanwalts bei Fristsachen - Änderung der Rechtsprechung?</w:t>
      </w:r>
    </w:p>
    <w:p w14:paraId="598283CA" w14:textId="77777777" w:rsidR="00A9452A" w:rsidRPr="005803E6" w:rsidRDefault="00A9452A" w:rsidP="00D574B8">
      <w:pPr>
        <w:jc w:val="both"/>
        <w:rPr>
          <w:rFonts w:ascii="Arial" w:hAnsi="Arial" w:cs="Arial"/>
          <w:b/>
          <w:bCs/>
          <w:color w:val="000000" w:themeColor="text1"/>
          <w:sz w:val="20"/>
          <w:szCs w:val="20"/>
          <w:u w:val="single"/>
        </w:rPr>
      </w:pPr>
    </w:p>
    <w:p w14:paraId="7F06BC70"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Volltext PE:</w:t>
      </w:r>
    </w:p>
    <w:p w14:paraId="40780FA5" w14:textId="77777777" w:rsidR="00031F13" w:rsidRPr="005803E6" w:rsidRDefault="00031F13" w:rsidP="00D574B8">
      <w:pPr>
        <w:jc w:val="both"/>
        <w:rPr>
          <w:rFonts w:ascii="Arial" w:hAnsi="Arial" w:cs="Arial"/>
          <w:color w:val="000000" w:themeColor="text1"/>
        </w:rPr>
      </w:pPr>
      <w:r w:rsidRPr="005803E6">
        <w:rPr>
          <w:rFonts w:ascii="Arial" w:hAnsi="Arial" w:cs="Arial"/>
          <w:color w:val="000000" w:themeColor="text1"/>
          <w:sz w:val="20"/>
          <w:szCs w:val="20"/>
        </w:rPr>
        <w:t>Der Sechste Senat des Bundesarbeitsgerichts beabsichtigt, sich der Rechtsprechung des Bundesgerichtshofs (BGH) zur Sorgfaltspflicht des Rechtsanwalts in Fristsachen anzuschließen, wonach ein Rechtsanwalt den Ablauf von Rechtsmittelbegründungsfristen immer dann eigenverantwortlich zu prüfen hat, wenn ihm die Akten im Zusammenhang mit einer fristgebundenen Verfahrenshandlung, insbesondere zu deren Bearbeitung, vorgelegt werden. Dabei muss der Rechtsanwalt auch alle weiteren unerledigten Fristen einschließlich ihrer Notierung in den Handakten prüfen, wobei er sich hierbei grundsätzlich auf die Prüfung der Vermerke in der Handakte beschränken darf, sofern sich keine Zweifel an deren Richtigkeit aufdrängen (BGH 17. Mai 2023 – XII ZB 533/22 -; 19. Oktober 2022 – XII ZB 113/21 -).</w:t>
      </w:r>
    </w:p>
    <w:p w14:paraId="58FD09A0" w14:textId="77777777" w:rsidR="00A9452A" w:rsidRPr="005803E6" w:rsidRDefault="00A9452A" w:rsidP="00D574B8">
      <w:pPr>
        <w:jc w:val="both"/>
        <w:rPr>
          <w:rFonts w:ascii="Arial" w:hAnsi="Arial" w:cs="Arial"/>
          <w:color w:val="000000" w:themeColor="text1"/>
          <w:sz w:val="20"/>
          <w:szCs w:val="20"/>
        </w:rPr>
      </w:pPr>
    </w:p>
    <w:p w14:paraId="7E673369" w14:textId="77777777" w:rsidR="00031F13" w:rsidRPr="005803E6" w:rsidRDefault="00031F13" w:rsidP="00D574B8">
      <w:pPr>
        <w:jc w:val="both"/>
        <w:rPr>
          <w:rFonts w:ascii="Arial" w:hAnsi="Arial" w:cs="Arial"/>
          <w:color w:val="000000" w:themeColor="text1"/>
        </w:rPr>
      </w:pPr>
      <w:r w:rsidRPr="005803E6">
        <w:rPr>
          <w:rFonts w:ascii="Arial" w:hAnsi="Arial" w:cs="Arial"/>
          <w:color w:val="000000" w:themeColor="text1"/>
          <w:sz w:val="20"/>
          <w:szCs w:val="20"/>
        </w:rPr>
        <w:t>Hierin liegt eine entscheidungserhebliche Abweichung zur Rechtsprechung des Ersten, Dritten, Achten und Neunten Senats des Bundesarbeitsgerichts, wonach ein Rechtsanwalt bei Vorlage der Handakten zur Anfertigung der Rechtsmittelschrift neben der Rechtsmittelfrist auch die ordnungsgemäße Notierung der Rechtsmittelbegründungsfrist im Fristenkalender zu kontrollieren hat (10. Januar 2003 – 1 AZR 70/02 -; 17. Oktober 2012 – 3 AZR 633/12 -; 31. Januar 2008 – 8 AZR 27/07 – und 18. Juni 2015 – 8 AZR 556/14 -; 18. Januar 2006 – 9 AZR 454/04 – nv).</w:t>
      </w:r>
    </w:p>
    <w:p w14:paraId="582C3FC0" w14:textId="77777777" w:rsidR="00A9452A" w:rsidRPr="005803E6" w:rsidRDefault="00A9452A" w:rsidP="00D574B8">
      <w:pPr>
        <w:jc w:val="both"/>
        <w:rPr>
          <w:rFonts w:ascii="Arial" w:hAnsi="Arial" w:cs="Arial"/>
          <w:color w:val="000000" w:themeColor="text1"/>
          <w:sz w:val="20"/>
          <w:szCs w:val="20"/>
        </w:rPr>
      </w:pPr>
    </w:p>
    <w:p w14:paraId="3496854A" w14:textId="77777777" w:rsidR="00031F13" w:rsidRPr="005803E6" w:rsidRDefault="00031F13" w:rsidP="00D574B8">
      <w:pPr>
        <w:jc w:val="both"/>
        <w:rPr>
          <w:rFonts w:ascii="Arial" w:hAnsi="Arial" w:cs="Arial"/>
          <w:color w:val="000000" w:themeColor="text1"/>
        </w:rPr>
      </w:pPr>
      <w:r w:rsidRPr="005803E6">
        <w:rPr>
          <w:rFonts w:ascii="Arial" w:hAnsi="Arial" w:cs="Arial"/>
          <w:color w:val="000000" w:themeColor="text1"/>
          <w:sz w:val="20"/>
          <w:szCs w:val="20"/>
        </w:rPr>
        <w:t>Der Sechste Senat hat deshalb in dem Verfahren – 6 AZR 155/23 – mit Beschluss vom heutigen Tag nach § 45 Abs. 3 Satz 1 ArbGG angefragt, ob der Erste, Dritte, Achte und Neunte Senat an ihrer Rechtsauffassung festhalten, und den Rechtsstreit bis zur Beantwortung der Divergenzanfrage entsprechend § 148 ZPO ausgesetzt.</w:t>
      </w:r>
    </w:p>
    <w:p w14:paraId="0D8427E0" w14:textId="77777777" w:rsidR="00A9452A" w:rsidRPr="005803E6" w:rsidRDefault="00A9452A" w:rsidP="00D574B8">
      <w:pPr>
        <w:jc w:val="both"/>
        <w:rPr>
          <w:rFonts w:ascii="Arial" w:hAnsi="Arial" w:cs="Arial"/>
          <w:b/>
          <w:bCs/>
          <w:color w:val="000000" w:themeColor="text1"/>
          <w:sz w:val="20"/>
          <w:szCs w:val="20"/>
          <w:u w:val="single"/>
        </w:rPr>
      </w:pPr>
    </w:p>
    <w:p w14:paraId="21FA7480"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Siehe:</w:t>
      </w:r>
    </w:p>
    <w:p w14:paraId="205407DA" w14:textId="77777777" w:rsidR="00031F13" w:rsidRPr="005803E6" w:rsidRDefault="00370FDF" w:rsidP="00D574B8">
      <w:pPr>
        <w:jc w:val="both"/>
        <w:rPr>
          <w:rFonts w:ascii="Arial" w:hAnsi="Arial" w:cs="Arial"/>
          <w:color w:val="000000" w:themeColor="text1"/>
          <w:sz w:val="20"/>
          <w:szCs w:val="20"/>
          <w:u w:val="single"/>
        </w:rPr>
      </w:pPr>
      <w:hyperlink r:id="rId9" w:tgtFrame="_blank" w:history="1">
        <w:r w:rsidR="00031F13" w:rsidRPr="005803E6">
          <w:rPr>
            <w:rStyle w:val="Hyperlink"/>
            <w:rFonts w:ascii="Arial" w:hAnsi="Arial" w:cs="Arial"/>
            <w:color w:val="000000" w:themeColor="text1"/>
            <w:sz w:val="20"/>
            <w:szCs w:val="20"/>
          </w:rPr>
          <w:t>https://www.bundesarbeitsgericht.de/presse/kontrollpflichten-eines-rechtsanwalts-bei-fristsachen-aenderung-der-rechtsprechung/</w:t>
        </w:r>
      </w:hyperlink>
    </w:p>
    <w:p w14:paraId="52BDF642" w14:textId="77777777" w:rsidR="00A9452A" w:rsidRPr="005803E6" w:rsidRDefault="00A9452A" w:rsidP="00D574B8">
      <w:pPr>
        <w:jc w:val="both"/>
        <w:rPr>
          <w:rFonts w:ascii="Arial" w:hAnsi="Arial" w:cs="Arial"/>
          <w:color w:val="000000" w:themeColor="text1"/>
        </w:rPr>
      </w:pPr>
    </w:p>
    <w:p w14:paraId="5C9D276E" w14:textId="77777777" w:rsidR="00031F13" w:rsidRPr="005803E6" w:rsidRDefault="00031F13" w:rsidP="00D574B8">
      <w:pPr>
        <w:pStyle w:val="Listenabsatz"/>
        <w:keepNext/>
        <w:ind w:left="1080" w:hanging="720"/>
        <w:jc w:val="center"/>
        <w:rPr>
          <w:rFonts w:ascii="Arial" w:hAnsi="Arial" w:cs="Arial"/>
          <w:b/>
          <w:color w:val="000000" w:themeColor="text1"/>
        </w:rPr>
      </w:pPr>
      <w:r w:rsidRPr="005803E6">
        <w:rPr>
          <w:rFonts w:ascii="Arial" w:hAnsi="Arial" w:cs="Arial"/>
          <w:b/>
          <w:color w:val="000000" w:themeColor="text1"/>
        </w:rPr>
        <w:t>III.</w:t>
      </w:r>
    </w:p>
    <w:p w14:paraId="13FE7E8E" w14:textId="77777777" w:rsidR="00A9452A" w:rsidRPr="005803E6" w:rsidRDefault="00031F13" w:rsidP="00D574B8">
      <w:pPr>
        <w:jc w:val="center"/>
        <w:rPr>
          <w:rFonts w:ascii="Arial" w:hAnsi="Arial" w:cs="Arial"/>
          <w:b/>
          <w:bCs/>
          <w:color w:val="000000" w:themeColor="text1"/>
        </w:rPr>
      </w:pPr>
      <w:r w:rsidRPr="005803E6">
        <w:rPr>
          <w:rFonts w:ascii="Arial" w:hAnsi="Arial" w:cs="Arial"/>
          <w:b/>
          <w:bCs/>
          <w:color w:val="000000" w:themeColor="text1"/>
        </w:rPr>
        <w:t xml:space="preserve">Arbeitsgericht Freiburg </w:t>
      </w:r>
    </w:p>
    <w:p w14:paraId="2549CE07" w14:textId="77777777" w:rsidR="00031F13" w:rsidRPr="005803E6" w:rsidRDefault="00031F13" w:rsidP="00D574B8">
      <w:pPr>
        <w:jc w:val="center"/>
        <w:rPr>
          <w:rFonts w:ascii="Arial" w:hAnsi="Arial" w:cs="Arial"/>
          <w:color w:val="000000" w:themeColor="text1"/>
          <w:sz w:val="20"/>
          <w:szCs w:val="20"/>
        </w:rPr>
      </w:pPr>
      <w:r w:rsidRPr="005803E6">
        <w:rPr>
          <w:rFonts w:ascii="Arial" w:hAnsi="Arial" w:cs="Arial"/>
          <w:bCs/>
          <w:color w:val="000000" w:themeColor="text1"/>
          <w:sz w:val="20"/>
          <w:szCs w:val="20"/>
        </w:rPr>
        <w:t>Beschluss vom 6.03.2024 – 1 Ca 38/24</w:t>
      </w:r>
    </w:p>
    <w:p w14:paraId="1B719E1D" w14:textId="77777777" w:rsidR="00A9452A" w:rsidRPr="005803E6" w:rsidRDefault="00A9452A" w:rsidP="00D574B8">
      <w:pPr>
        <w:jc w:val="both"/>
        <w:rPr>
          <w:rFonts w:ascii="Arial" w:hAnsi="Arial" w:cs="Arial"/>
          <w:b/>
          <w:bCs/>
          <w:color w:val="000000" w:themeColor="text1"/>
          <w:sz w:val="20"/>
          <w:szCs w:val="20"/>
          <w:u w:val="single"/>
        </w:rPr>
      </w:pPr>
    </w:p>
    <w:p w14:paraId="70CB8185"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Schlagworte/Normen:</w:t>
      </w:r>
    </w:p>
    <w:p w14:paraId="4A34B3FE"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rPr>
        <w:t>Keine ausschließliche örtliche Zuständigkeit des Arbeitsgerichts am Betriebssitz gemäß § 27 BasisTV für Unternehmen des DB Konzerns - Wahl des Gerichtsstands</w:t>
      </w:r>
    </w:p>
    <w:p w14:paraId="62E9E7AB" w14:textId="77777777" w:rsidR="00A9452A" w:rsidRPr="005803E6" w:rsidRDefault="00A9452A" w:rsidP="00D574B8">
      <w:pPr>
        <w:jc w:val="both"/>
        <w:rPr>
          <w:rFonts w:ascii="Arial" w:hAnsi="Arial" w:cs="Arial"/>
          <w:b/>
          <w:bCs/>
          <w:color w:val="000000" w:themeColor="text1"/>
          <w:sz w:val="20"/>
          <w:szCs w:val="20"/>
          <w:u w:val="single"/>
        </w:rPr>
      </w:pPr>
    </w:p>
    <w:p w14:paraId="42698781"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Leitsatz:</w:t>
      </w:r>
    </w:p>
    <w:p w14:paraId="6580276B" w14:textId="77777777" w:rsidR="00031F13" w:rsidRPr="005803E6" w:rsidRDefault="00031F13" w:rsidP="00D574B8">
      <w:pPr>
        <w:jc w:val="both"/>
        <w:rPr>
          <w:rFonts w:ascii="Arial" w:hAnsi="Arial" w:cs="Arial"/>
          <w:color w:val="000000" w:themeColor="text1"/>
        </w:rPr>
      </w:pPr>
      <w:r w:rsidRPr="005803E6">
        <w:rPr>
          <w:rFonts w:ascii="Arial" w:hAnsi="Arial" w:cs="Arial"/>
          <w:color w:val="000000" w:themeColor="text1"/>
          <w:sz w:val="20"/>
          <w:szCs w:val="20"/>
        </w:rPr>
        <w:t>1. Das Wahlrecht zwischen mehreren Gerichtsständen gem. §</w:t>
      </w:r>
      <w:r w:rsidR="00A9452A" w:rsidRPr="005803E6">
        <w:rPr>
          <w:rFonts w:ascii="Arial" w:hAnsi="Arial" w:cs="Arial"/>
          <w:color w:val="000000" w:themeColor="text1"/>
          <w:sz w:val="20"/>
          <w:szCs w:val="20"/>
        </w:rPr>
        <w:t xml:space="preserve"> </w:t>
      </w:r>
      <w:r w:rsidRPr="005803E6">
        <w:rPr>
          <w:rFonts w:ascii="Arial" w:hAnsi="Arial" w:cs="Arial"/>
          <w:color w:val="000000" w:themeColor="text1"/>
          <w:sz w:val="20"/>
          <w:szCs w:val="20"/>
        </w:rPr>
        <w:t>35 ZPO bleibt auch dann bestehen, wenn ein Tarifvertrag einen Gerichtsstand für den Sitz des "Betriebes" enthält. Ein Gerichtsstand für den Sitz des Betriebes ist nicht deckungsgleich mit dem Gerichtsstand des Sitzes des Unternehmens oder der Niederlassung. Für eine Auslegung des Tarifvertrages, dieser regele einen "ausschließlichen" Gerichtsstand am Sitz des Betriebes, bedarf es gewichtiger Anhaltspunkte im Tarifvertrag dafür, dass andere Gerichtsstände ausgeschlossen sein sollen.</w:t>
      </w:r>
    </w:p>
    <w:p w14:paraId="00751F9F" w14:textId="77777777" w:rsidR="00A9452A" w:rsidRPr="005803E6" w:rsidRDefault="00A9452A" w:rsidP="00D574B8">
      <w:pPr>
        <w:jc w:val="both"/>
        <w:rPr>
          <w:rFonts w:ascii="Arial" w:hAnsi="Arial" w:cs="Arial"/>
          <w:color w:val="000000" w:themeColor="text1"/>
          <w:sz w:val="20"/>
          <w:szCs w:val="20"/>
        </w:rPr>
      </w:pPr>
    </w:p>
    <w:p w14:paraId="284AD1E2" w14:textId="77777777" w:rsidR="00031F13" w:rsidRPr="005803E6" w:rsidRDefault="00031F13" w:rsidP="00D574B8">
      <w:pPr>
        <w:jc w:val="both"/>
        <w:rPr>
          <w:rFonts w:ascii="Arial" w:hAnsi="Arial" w:cs="Arial"/>
          <w:color w:val="000000" w:themeColor="text1"/>
        </w:rPr>
      </w:pPr>
      <w:r w:rsidRPr="005803E6">
        <w:rPr>
          <w:rFonts w:ascii="Arial" w:hAnsi="Arial" w:cs="Arial"/>
          <w:color w:val="000000" w:themeColor="text1"/>
          <w:sz w:val="20"/>
          <w:szCs w:val="20"/>
        </w:rPr>
        <w:t>2. §</w:t>
      </w:r>
      <w:r w:rsidR="00A9452A" w:rsidRPr="005803E6">
        <w:rPr>
          <w:rFonts w:ascii="Arial" w:hAnsi="Arial" w:cs="Arial"/>
          <w:color w:val="000000" w:themeColor="text1"/>
          <w:sz w:val="20"/>
          <w:szCs w:val="20"/>
        </w:rPr>
        <w:t xml:space="preserve"> </w:t>
      </w:r>
      <w:r w:rsidRPr="005803E6">
        <w:rPr>
          <w:rFonts w:ascii="Arial" w:hAnsi="Arial" w:cs="Arial"/>
          <w:color w:val="000000" w:themeColor="text1"/>
          <w:sz w:val="20"/>
          <w:szCs w:val="20"/>
        </w:rPr>
        <w:t>27 des Basistarifvertrages zu den funktionsgruppenspezifischen und funktionsspezifischen Tarifverträgen verschiedener Unternehmen des DB Konzerns sieht keinen ausschließlichen Gerichtsstand des Betriebes vor.</w:t>
      </w:r>
    </w:p>
    <w:p w14:paraId="59628AA4" w14:textId="77777777" w:rsidR="00A9452A" w:rsidRPr="005803E6" w:rsidRDefault="00A9452A" w:rsidP="00D574B8">
      <w:pPr>
        <w:jc w:val="both"/>
        <w:rPr>
          <w:rFonts w:ascii="Arial" w:hAnsi="Arial" w:cs="Arial"/>
          <w:b/>
          <w:bCs/>
          <w:color w:val="000000" w:themeColor="text1"/>
          <w:sz w:val="20"/>
          <w:szCs w:val="20"/>
          <w:u w:val="single"/>
        </w:rPr>
      </w:pPr>
    </w:p>
    <w:p w14:paraId="346D9C1E"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Siehe:</w:t>
      </w:r>
    </w:p>
    <w:p w14:paraId="6C0B07A8" w14:textId="77777777" w:rsidR="00031F13" w:rsidRPr="005803E6" w:rsidRDefault="00370FDF" w:rsidP="00D574B8">
      <w:pPr>
        <w:jc w:val="both"/>
        <w:rPr>
          <w:rFonts w:ascii="Arial" w:hAnsi="Arial" w:cs="Arial"/>
          <w:color w:val="000000" w:themeColor="text1"/>
          <w:sz w:val="20"/>
          <w:szCs w:val="20"/>
          <w:u w:val="single"/>
        </w:rPr>
      </w:pPr>
      <w:hyperlink r:id="rId10" w:tgtFrame="_blank" w:history="1">
        <w:r w:rsidR="00031F13" w:rsidRPr="005803E6">
          <w:rPr>
            <w:rStyle w:val="Hyperlink"/>
            <w:rFonts w:ascii="Arial" w:hAnsi="Arial" w:cs="Arial"/>
            <w:color w:val="000000" w:themeColor="text1"/>
            <w:sz w:val="20"/>
            <w:szCs w:val="20"/>
          </w:rPr>
          <w:t>https://www.landesrecht-bw.de/bsbw/document/NJRE001574315</w:t>
        </w:r>
      </w:hyperlink>
    </w:p>
    <w:p w14:paraId="7E31B349" w14:textId="77777777" w:rsidR="00A9452A" w:rsidRPr="005803E6" w:rsidRDefault="00A9452A" w:rsidP="00D574B8">
      <w:pPr>
        <w:jc w:val="both"/>
        <w:rPr>
          <w:rFonts w:ascii="Arial" w:hAnsi="Arial" w:cs="Arial"/>
          <w:color w:val="000000" w:themeColor="text1"/>
        </w:rPr>
      </w:pPr>
    </w:p>
    <w:p w14:paraId="53B7F014" w14:textId="77777777" w:rsidR="00031F13" w:rsidRPr="005803E6" w:rsidRDefault="00031F13" w:rsidP="00D574B8">
      <w:pPr>
        <w:pStyle w:val="Listenabsatz"/>
        <w:keepNext/>
        <w:ind w:left="1080" w:hanging="720"/>
        <w:jc w:val="center"/>
        <w:rPr>
          <w:rFonts w:ascii="Arial" w:hAnsi="Arial" w:cs="Arial"/>
          <w:b/>
          <w:color w:val="000000" w:themeColor="text1"/>
        </w:rPr>
      </w:pPr>
      <w:r w:rsidRPr="005803E6">
        <w:rPr>
          <w:rFonts w:ascii="Arial" w:hAnsi="Arial" w:cs="Arial"/>
          <w:b/>
          <w:color w:val="000000" w:themeColor="text1"/>
        </w:rPr>
        <w:t>IV.</w:t>
      </w:r>
    </w:p>
    <w:p w14:paraId="52821325" w14:textId="77777777" w:rsidR="00A9452A" w:rsidRPr="005803E6" w:rsidRDefault="00031F13" w:rsidP="00D574B8">
      <w:pPr>
        <w:jc w:val="center"/>
        <w:rPr>
          <w:rFonts w:ascii="Arial" w:hAnsi="Arial" w:cs="Arial"/>
          <w:b/>
          <w:bCs/>
          <w:color w:val="000000" w:themeColor="text1"/>
        </w:rPr>
      </w:pPr>
      <w:r w:rsidRPr="005803E6">
        <w:rPr>
          <w:rFonts w:ascii="Arial" w:hAnsi="Arial" w:cs="Arial"/>
          <w:b/>
          <w:bCs/>
          <w:color w:val="000000" w:themeColor="text1"/>
        </w:rPr>
        <w:t>Landesarbeitsgericht Baden-Württemberg</w:t>
      </w:r>
    </w:p>
    <w:p w14:paraId="63255126" w14:textId="77777777" w:rsidR="00031F13" w:rsidRPr="005803E6" w:rsidRDefault="00031F13" w:rsidP="00D574B8">
      <w:pPr>
        <w:jc w:val="center"/>
        <w:rPr>
          <w:rFonts w:ascii="Arial" w:hAnsi="Arial" w:cs="Arial"/>
          <w:color w:val="000000" w:themeColor="text1"/>
          <w:sz w:val="20"/>
          <w:szCs w:val="20"/>
        </w:rPr>
      </w:pPr>
      <w:r w:rsidRPr="005803E6">
        <w:rPr>
          <w:rFonts w:ascii="Arial" w:hAnsi="Arial" w:cs="Arial"/>
          <w:bCs/>
          <w:color w:val="000000" w:themeColor="text1"/>
          <w:sz w:val="20"/>
          <w:szCs w:val="20"/>
        </w:rPr>
        <w:t>Beschluss vom 11.04.2024 – 4 Sa 12/24</w:t>
      </w:r>
    </w:p>
    <w:p w14:paraId="29A70F6C" w14:textId="77777777" w:rsidR="00A9452A" w:rsidRPr="005803E6" w:rsidRDefault="00A9452A" w:rsidP="00D574B8">
      <w:pPr>
        <w:jc w:val="both"/>
        <w:rPr>
          <w:rFonts w:ascii="Arial" w:hAnsi="Arial" w:cs="Arial"/>
          <w:b/>
          <w:bCs/>
          <w:color w:val="000000" w:themeColor="text1"/>
          <w:sz w:val="20"/>
          <w:szCs w:val="20"/>
          <w:u w:val="single"/>
        </w:rPr>
      </w:pPr>
    </w:p>
    <w:p w14:paraId="09077C4D"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Schlagworte/Normen:</w:t>
      </w:r>
    </w:p>
    <w:p w14:paraId="7F38562F"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rPr>
        <w:t>Postulationsfähigkeit - Berufungseinlegung durch Rechtsanwalt, der zugleich Syndikusanwalt bei der rechtsmittelführenden Partei ist</w:t>
      </w:r>
    </w:p>
    <w:p w14:paraId="2F4F3C77" w14:textId="77777777" w:rsidR="00A9452A" w:rsidRPr="005803E6" w:rsidRDefault="00A9452A" w:rsidP="00D574B8">
      <w:pPr>
        <w:jc w:val="both"/>
        <w:rPr>
          <w:rFonts w:ascii="Arial" w:hAnsi="Arial" w:cs="Arial"/>
          <w:b/>
          <w:bCs/>
          <w:color w:val="000000" w:themeColor="text1"/>
          <w:sz w:val="20"/>
          <w:szCs w:val="20"/>
          <w:u w:val="single"/>
        </w:rPr>
      </w:pPr>
    </w:p>
    <w:p w14:paraId="0DCF7095"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Leitsatz:</w:t>
      </w:r>
    </w:p>
    <w:p w14:paraId="6A1EC550" w14:textId="77777777" w:rsidR="00031F13" w:rsidRPr="005803E6" w:rsidRDefault="00031F13" w:rsidP="00D574B8">
      <w:pPr>
        <w:jc w:val="both"/>
        <w:rPr>
          <w:rFonts w:ascii="Arial" w:hAnsi="Arial" w:cs="Arial"/>
          <w:color w:val="000000" w:themeColor="text1"/>
        </w:rPr>
      </w:pPr>
      <w:r w:rsidRPr="005803E6">
        <w:rPr>
          <w:rFonts w:ascii="Arial" w:hAnsi="Arial" w:cs="Arial"/>
          <w:color w:val="000000" w:themeColor="text1"/>
          <w:sz w:val="20"/>
          <w:szCs w:val="20"/>
        </w:rPr>
        <w:t>1. Die Einlegung einer Berufung durch einen bei der rechtsmittelführenden Partei angestellten Syndikusanwalt ist unzulässig.</w:t>
      </w:r>
    </w:p>
    <w:p w14:paraId="39848F51" w14:textId="77777777" w:rsidR="00A9452A" w:rsidRPr="005803E6" w:rsidRDefault="00A9452A" w:rsidP="00D574B8">
      <w:pPr>
        <w:jc w:val="both"/>
        <w:rPr>
          <w:rFonts w:ascii="Arial" w:hAnsi="Arial" w:cs="Arial"/>
          <w:color w:val="000000" w:themeColor="text1"/>
          <w:sz w:val="20"/>
          <w:szCs w:val="20"/>
        </w:rPr>
      </w:pPr>
    </w:p>
    <w:p w14:paraId="2D7AD691" w14:textId="77777777" w:rsidR="00031F13" w:rsidRPr="005803E6" w:rsidRDefault="00031F13" w:rsidP="00D574B8">
      <w:pPr>
        <w:jc w:val="both"/>
        <w:rPr>
          <w:rFonts w:ascii="Arial" w:hAnsi="Arial" w:cs="Arial"/>
          <w:color w:val="000000" w:themeColor="text1"/>
        </w:rPr>
      </w:pPr>
      <w:r w:rsidRPr="005803E6">
        <w:rPr>
          <w:rFonts w:ascii="Arial" w:hAnsi="Arial" w:cs="Arial"/>
          <w:color w:val="000000" w:themeColor="text1"/>
          <w:sz w:val="20"/>
          <w:szCs w:val="20"/>
        </w:rPr>
        <w:t>2. Wird die Berufung eingelegt durch einen Rechtsanwalt, der zugleich als Syndikusanwalt bei der rechtsmittelführenden Partei angestellt ist, ist durch Auslegung der Berufungsschrift zu ermitteln, ob die Berufung durch den Anwalt in seiner Funktion als unabhängiger Rechtsanwalt eingelegt wurde oder im weisungsabhängigen Verhältnis zu seiner Partei als Syndikusanwalt.</w:t>
      </w:r>
    </w:p>
    <w:p w14:paraId="5C863EBB" w14:textId="77777777" w:rsidR="00A9452A" w:rsidRPr="005803E6" w:rsidRDefault="00A9452A" w:rsidP="00D574B8">
      <w:pPr>
        <w:jc w:val="both"/>
        <w:rPr>
          <w:rFonts w:ascii="Arial" w:hAnsi="Arial" w:cs="Arial"/>
          <w:color w:val="000000" w:themeColor="text1"/>
          <w:sz w:val="20"/>
          <w:szCs w:val="20"/>
        </w:rPr>
      </w:pPr>
    </w:p>
    <w:p w14:paraId="252185C5" w14:textId="77777777" w:rsidR="00031F13" w:rsidRPr="005803E6" w:rsidRDefault="00031F13" w:rsidP="00D574B8">
      <w:pPr>
        <w:jc w:val="both"/>
        <w:rPr>
          <w:rFonts w:ascii="Arial" w:hAnsi="Arial" w:cs="Arial"/>
          <w:color w:val="000000" w:themeColor="text1"/>
        </w:rPr>
      </w:pPr>
      <w:r w:rsidRPr="005803E6">
        <w:rPr>
          <w:rFonts w:ascii="Arial" w:hAnsi="Arial" w:cs="Arial"/>
          <w:color w:val="000000" w:themeColor="text1"/>
          <w:sz w:val="20"/>
          <w:szCs w:val="20"/>
        </w:rPr>
        <w:t>3. Ergibt diese Auslegung Zweifel, gehen diese zu Lasten der berufungsführenden Partei.</w:t>
      </w:r>
    </w:p>
    <w:p w14:paraId="12159762" w14:textId="77777777" w:rsidR="00A9452A" w:rsidRPr="005803E6" w:rsidRDefault="00A9452A" w:rsidP="00D574B8">
      <w:pPr>
        <w:jc w:val="both"/>
        <w:rPr>
          <w:rFonts w:ascii="Arial" w:hAnsi="Arial" w:cs="Arial"/>
          <w:b/>
          <w:bCs/>
          <w:color w:val="000000" w:themeColor="text1"/>
          <w:sz w:val="20"/>
          <w:szCs w:val="20"/>
          <w:u w:val="single"/>
        </w:rPr>
      </w:pPr>
    </w:p>
    <w:p w14:paraId="615D42A5"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lastRenderedPageBreak/>
        <w:t>Siehe:</w:t>
      </w:r>
    </w:p>
    <w:p w14:paraId="51D2AF0C" w14:textId="77777777" w:rsidR="00031F13" w:rsidRPr="005803E6" w:rsidRDefault="00370FDF" w:rsidP="00D574B8">
      <w:pPr>
        <w:jc w:val="both"/>
        <w:rPr>
          <w:rFonts w:ascii="Arial" w:hAnsi="Arial" w:cs="Arial"/>
          <w:color w:val="000000" w:themeColor="text1"/>
          <w:sz w:val="20"/>
          <w:szCs w:val="20"/>
          <w:u w:val="single"/>
        </w:rPr>
      </w:pPr>
      <w:hyperlink r:id="rId11" w:history="1">
        <w:r w:rsidR="00DD43AA" w:rsidRPr="005803E6">
          <w:rPr>
            <w:rStyle w:val="Hyperlink"/>
            <w:rFonts w:ascii="Arial" w:hAnsi="Arial" w:cs="Arial"/>
            <w:color w:val="000000" w:themeColor="text1"/>
            <w:sz w:val="20"/>
            <w:szCs w:val="20"/>
          </w:rPr>
          <w:t>https://www.landesrecht-bw.de/bsbw/document/NJRE001574319</w:t>
        </w:r>
      </w:hyperlink>
    </w:p>
    <w:p w14:paraId="1A9249E9" w14:textId="77777777" w:rsidR="00A9452A" w:rsidRPr="005803E6" w:rsidRDefault="00A9452A" w:rsidP="00D574B8">
      <w:pPr>
        <w:jc w:val="both"/>
        <w:rPr>
          <w:rFonts w:ascii="Arial" w:hAnsi="Arial" w:cs="Arial"/>
          <w:color w:val="000000" w:themeColor="text1"/>
        </w:rPr>
      </w:pPr>
    </w:p>
    <w:p w14:paraId="792A2E5B" w14:textId="77777777" w:rsidR="00031F13" w:rsidRPr="005803E6" w:rsidRDefault="00031F13" w:rsidP="00D574B8">
      <w:pPr>
        <w:pStyle w:val="Listenabsatz"/>
        <w:keepNext/>
        <w:ind w:left="1080" w:hanging="720"/>
        <w:jc w:val="center"/>
        <w:rPr>
          <w:rFonts w:ascii="Arial" w:hAnsi="Arial" w:cs="Arial"/>
          <w:b/>
          <w:color w:val="000000" w:themeColor="text1"/>
        </w:rPr>
      </w:pPr>
      <w:r w:rsidRPr="005803E6">
        <w:rPr>
          <w:rFonts w:ascii="Arial" w:hAnsi="Arial" w:cs="Arial"/>
          <w:b/>
          <w:color w:val="000000" w:themeColor="text1"/>
        </w:rPr>
        <w:t>V.</w:t>
      </w:r>
    </w:p>
    <w:p w14:paraId="62415A88" w14:textId="77777777" w:rsidR="00DD43AA" w:rsidRPr="005803E6" w:rsidRDefault="00031F13" w:rsidP="00D574B8">
      <w:pPr>
        <w:jc w:val="center"/>
        <w:rPr>
          <w:rFonts w:ascii="Arial" w:hAnsi="Arial" w:cs="Arial"/>
          <w:b/>
          <w:bCs/>
          <w:color w:val="000000" w:themeColor="text1"/>
          <w:sz w:val="20"/>
          <w:szCs w:val="20"/>
        </w:rPr>
      </w:pPr>
      <w:r w:rsidRPr="005803E6">
        <w:rPr>
          <w:rFonts w:ascii="Arial" w:hAnsi="Arial" w:cs="Arial"/>
          <w:b/>
          <w:bCs/>
          <w:color w:val="000000" w:themeColor="text1"/>
        </w:rPr>
        <w:t>Arbeitsgericht Stuttgart</w:t>
      </w:r>
      <w:r w:rsidRPr="005803E6">
        <w:rPr>
          <w:rFonts w:ascii="Arial" w:hAnsi="Arial" w:cs="Arial"/>
          <w:b/>
          <w:bCs/>
          <w:color w:val="000000" w:themeColor="text1"/>
          <w:sz w:val="20"/>
          <w:szCs w:val="20"/>
        </w:rPr>
        <w:t xml:space="preserve"> </w:t>
      </w:r>
    </w:p>
    <w:p w14:paraId="003B0ED1" w14:textId="77777777" w:rsidR="00031F13" w:rsidRPr="005803E6" w:rsidRDefault="00031F13" w:rsidP="00D574B8">
      <w:pPr>
        <w:jc w:val="center"/>
        <w:rPr>
          <w:rFonts w:ascii="Arial" w:hAnsi="Arial" w:cs="Arial"/>
          <w:color w:val="000000" w:themeColor="text1"/>
        </w:rPr>
      </w:pPr>
      <w:r w:rsidRPr="005803E6">
        <w:rPr>
          <w:rFonts w:ascii="Arial" w:hAnsi="Arial" w:cs="Arial"/>
          <w:bCs/>
          <w:color w:val="000000" w:themeColor="text1"/>
          <w:sz w:val="20"/>
          <w:szCs w:val="20"/>
        </w:rPr>
        <w:t>Beschluss vom 8.05.2024 – 30 BVGa 8/24</w:t>
      </w:r>
    </w:p>
    <w:p w14:paraId="74B4219E" w14:textId="77777777" w:rsidR="00031F13" w:rsidRPr="005803E6" w:rsidRDefault="00031F13" w:rsidP="00D574B8">
      <w:pPr>
        <w:rPr>
          <w:rFonts w:ascii="Arial" w:hAnsi="Arial" w:cs="Arial"/>
          <w:color w:val="000000" w:themeColor="text1"/>
        </w:rPr>
      </w:pPr>
    </w:p>
    <w:p w14:paraId="3D7AA55C"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Schlagworte/Normen:</w:t>
      </w:r>
    </w:p>
    <w:p w14:paraId="25267F22"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rPr>
        <w:t>Rechtsanwaltskosten - Beschlussverfahren - Dringlichkeit - einstweilige Verfügung - effektiver Rechtsschutz</w:t>
      </w:r>
    </w:p>
    <w:p w14:paraId="50E8047B" w14:textId="77777777" w:rsidR="00DD43AA" w:rsidRPr="005803E6" w:rsidRDefault="00DD43AA" w:rsidP="00D574B8">
      <w:pPr>
        <w:jc w:val="both"/>
        <w:rPr>
          <w:rFonts w:ascii="Arial" w:hAnsi="Arial" w:cs="Arial"/>
          <w:b/>
          <w:bCs/>
          <w:color w:val="000000" w:themeColor="text1"/>
          <w:sz w:val="20"/>
          <w:szCs w:val="20"/>
          <w:u w:val="single"/>
        </w:rPr>
      </w:pPr>
    </w:p>
    <w:p w14:paraId="7000C74F"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Leitsatz:</w:t>
      </w:r>
    </w:p>
    <w:p w14:paraId="68EB1FBA" w14:textId="77777777" w:rsidR="00031F13" w:rsidRPr="005803E6" w:rsidRDefault="00031F13" w:rsidP="00D574B8">
      <w:pPr>
        <w:jc w:val="both"/>
        <w:rPr>
          <w:rFonts w:ascii="Arial" w:hAnsi="Arial" w:cs="Arial"/>
          <w:color w:val="000000" w:themeColor="text1"/>
        </w:rPr>
      </w:pPr>
      <w:r w:rsidRPr="005803E6">
        <w:rPr>
          <w:rFonts w:ascii="Arial" w:hAnsi="Arial" w:cs="Arial"/>
          <w:color w:val="000000" w:themeColor="text1"/>
          <w:sz w:val="20"/>
          <w:szCs w:val="20"/>
        </w:rPr>
        <w:t>1. Die Durchsetzung der Übernahme von Rechtsanwaltskosten nach §</w:t>
      </w:r>
      <w:r w:rsidR="00DD43AA" w:rsidRPr="005803E6">
        <w:rPr>
          <w:rFonts w:ascii="Arial" w:hAnsi="Arial" w:cs="Arial"/>
          <w:color w:val="000000" w:themeColor="text1"/>
          <w:sz w:val="20"/>
          <w:szCs w:val="20"/>
        </w:rPr>
        <w:t xml:space="preserve"> </w:t>
      </w:r>
      <w:r w:rsidRPr="005803E6">
        <w:rPr>
          <w:rFonts w:ascii="Arial" w:hAnsi="Arial" w:cs="Arial"/>
          <w:color w:val="000000" w:themeColor="text1"/>
          <w:sz w:val="20"/>
          <w:szCs w:val="20"/>
        </w:rPr>
        <w:t>40 BetrVG durch ein Betriebsratsmitglied gegenüber dem Arbeitgeber im Rahmen eines einstweiligen Verfügungsverfahrens für einen (noch zu beauftragen-den) Rechtsanwalt in einem anderweitigen Beschlussverfahren ist nur in Ausnahme-konstellationen denkbar.</w:t>
      </w:r>
    </w:p>
    <w:p w14:paraId="1F2D107E" w14:textId="77777777" w:rsidR="007F576A" w:rsidRDefault="007F576A" w:rsidP="00D574B8">
      <w:pPr>
        <w:jc w:val="both"/>
        <w:rPr>
          <w:rFonts w:ascii="Arial" w:hAnsi="Arial" w:cs="Arial"/>
          <w:color w:val="000000" w:themeColor="text1"/>
          <w:sz w:val="20"/>
          <w:szCs w:val="20"/>
        </w:rPr>
      </w:pPr>
    </w:p>
    <w:p w14:paraId="1EDE7729" w14:textId="77777777" w:rsidR="00031F13" w:rsidRPr="005803E6" w:rsidRDefault="00031F13" w:rsidP="00D574B8">
      <w:pPr>
        <w:jc w:val="both"/>
        <w:rPr>
          <w:rFonts w:ascii="Arial" w:hAnsi="Arial" w:cs="Arial"/>
          <w:color w:val="000000" w:themeColor="text1"/>
        </w:rPr>
      </w:pPr>
      <w:r w:rsidRPr="005803E6">
        <w:rPr>
          <w:rFonts w:ascii="Arial" w:hAnsi="Arial" w:cs="Arial"/>
          <w:color w:val="000000" w:themeColor="text1"/>
          <w:sz w:val="20"/>
          <w:szCs w:val="20"/>
        </w:rPr>
        <w:t>2. Ein Verfügungsgrund im Bereich der Kostenerstattung nach §</w:t>
      </w:r>
      <w:r w:rsidR="00DD43AA" w:rsidRPr="005803E6">
        <w:rPr>
          <w:rFonts w:ascii="Arial" w:hAnsi="Arial" w:cs="Arial"/>
          <w:color w:val="000000" w:themeColor="text1"/>
          <w:sz w:val="20"/>
          <w:szCs w:val="20"/>
        </w:rPr>
        <w:t xml:space="preserve"> </w:t>
      </w:r>
      <w:r w:rsidRPr="005803E6">
        <w:rPr>
          <w:rFonts w:ascii="Arial" w:hAnsi="Arial" w:cs="Arial"/>
          <w:color w:val="000000" w:themeColor="text1"/>
          <w:sz w:val="20"/>
          <w:szCs w:val="20"/>
        </w:rPr>
        <w:t>40 BetrVG setzt eine wesentliche Erschwerung der Betriebsratstätigkeit voraus, woran es regelmäßig fehlt, wenn die Frage der Kostenerstattung von Rechtsanwaltskosten erst im Hauptsacheverfahren geklärt wird und nicht vorab.</w:t>
      </w:r>
    </w:p>
    <w:p w14:paraId="578E1B03" w14:textId="77777777" w:rsidR="007F576A" w:rsidRDefault="007F576A" w:rsidP="00D574B8">
      <w:pPr>
        <w:jc w:val="both"/>
        <w:rPr>
          <w:rFonts w:ascii="Arial" w:hAnsi="Arial" w:cs="Arial"/>
          <w:color w:val="000000" w:themeColor="text1"/>
          <w:sz w:val="20"/>
          <w:szCs w:val="20"/>
        </w:rPr>
      </w:pPr>
    </w:p>
    <w:p w14:paraId="01AF27FF" w14:textId="77777777" w:rsidR="00031F13" w:rsidRPr="005803E6" w:rsidRDefault="00031F13" w:rsidP="00D574B8">
      <w:pPr>
        <w:jc w:val="both"/>
        <w:rPr>
          <w:rFonts w:ascii="Arial" w:hAnsi="Arial" w:cs="Arial"/>
          <w:color w:val="000000" w:themeColor="text1"/>
        </w:rPr>
      </w:pPr>
      <w:r w:rsidRPr="005803E6">
        <w:rPr>
          <w:rFonts w:ascii="Arial" w:hAnsi="Arial" w:cs="Arial"/>
          <w:color w:val="000000" w:themeColor="text1"/>
          <w:sz w:val="20"/>
          <w:szCs w:val="20"/>
        </w:rPr>
        <w:t>3. Ob in Ausnahmefällen, wie etwa einer ersichtlich rechtswidrigen Verneinung einer Kostenübernahme durch den Arbeitgeber bei gleichzeitiger Able</w:t>
      </w:r>
      <w:r w:rsidR="00DD43AA" w:rsidRPr="005803E6">
        <w:rPr>
          <w:rFonts w:ascii="Arial" w:hAnsi="Arial" w:cs="Arial"/>
          <w:color w:val="000000" w:themeColor="text1"/>
          <w:sz w:val="20"/>
          <w:szCs w:val="20"/>
        </w:rPr>
        <w:t>h</w:t>
      </w:r>
      <w:r w:rsidRPr="005803E6">
        <w:rPr>
          <w:rFonts w:ascii="Arial" w:hAnsi="Arial" w:cs="Arial"/>
          <w:color w:val="000000" w:themeColor="text1"/>
          <w:sz w:val="20"/>
          <w:szCs w:val="20"/>
        </w:rPr>
        <w:t>nung der Übernahme des Mandats durch angefragte Rechtsanwälte ohne vorherige Kostenübernahme des Arbeitgebers, eine einstweilige Verfügung denkbar ist, bleibt unentschieden.</w:t>
      </w:r>
    </w:p>
    <w:p w14:paraId="379E1650" w14:textId="77777777" w:rsidR="00DD43AA" w:rsidRPr="005803E6" w:rsidRDefault="00DD43AA" w:rsidP="00D574B8">
      <w:pPr>
        <w:jc w:val="both"/>
        <w:rPr>
          <w:rFonts w:ascii="Arial" w:hAnsi="Arial" w:cs="Arial"/>
          <w:b/>
          <w:bCs/>
          <w:color w:val="000000" w:themeColor="text1"/>
          <w:sz w:val="20"/>
          <w:szCs w:val="20"/>
          <w:u w:val="single"/>
        </w:rPr>
      </w:pPr>
    </w:p>
    <w:p w14:paraId="46CAC924"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Siehe:</w:t>
      </w:r>
    </w:p>
    <w:p w14:paraId="6C933EE5" w14:textId="77777777" w:rsidR="00031F13" w:rsidRPr="005803E6" w:rsidRDefault="00370FDF" w:rsidP="00D574B8">
      <w:pPr>
        <w:jc w:val="both"/>
        <w:rPr>
          <w:rStyle w:val="Hyperlink"/>
          <w:rFonts w:ascii="Arial" w:hAnsi="Arial" w:cs="Arial"/>
          <w:color w:val="000000" w:themeColor="text1"/>
          <w:sz w:val="20"/>
          <w:szCs w:val="20"/>
        </w:rPr>
      </w:pPr>
      <w:hyperlink r:id="rId12" w:tgtFrame="_blank" w:history="1">
        <w:r w:rsidR="00031F13" w:rsidRPr="005803E6">
          <w:rPr>
            <w:rStyle w:val="Hyperlink"/>
            <w:rFonts w:ascii="Arial" w:hAnsi="Arial" w:cs="Arial"/>
            <w:color w:val="000000" w:themeColor="text1"/>
            <w:sz w:val="20"/>
            <w:szCs w:val="20"/>
          </w:rPr>
          <w:t>https://www.landesrecht-bw.de/bsbw/document/NJRE001575089</w:t>
        </w:r>
      </w:hyperlink>
    </w:p>
    <w:p w14:paraId="67E0C8B5" w14:textId="77777777" w:rsidR="00DD43AA" w:rsidRPr="005803E6" w:rsidRDefault="00DD43AA" w:rsidP="00D574B8">
      <w:pPr>
        <w:jc w:val="both"/>
        <w:rPr>
          <w:rFonts w:ascii="Arial" w:hAnsi="Arial" w:cs="Arial"/>
          <w:color w:val="000000" w:themeColor="text1"/>
        </w:rPr>
      </w:pPr>
    </w:p>
    <w:p w14:paraId="3580A8C9" w14:textId="77777777" w:rsidR="00031F13" w:rsidRPr="005803E6" w:rsidRDefault="00031F13" w:rsidP="00D574B8">
      <w:pPr>
        <w:pStyle w:val="Listenabsatz"/>
        <w:keepNext/>
        <w:ind w:left="1080" w:hanging="720"/>
        <w:jc w:val="center"/>
        <w:rPr>
          <w:rFonts w:ascii="Arial" w:hAnsi="Arial" w:cs="Arial"/>
          <w:b/>
          <w:color w:val="000000" w:themeColor="text1"/>
        </w:rPr>
      </w:pPr>
      <w:r w:rsidRPr="005803E6">
        <w:rPr>
          <w:rFonts w:ascii="Arial" w:hAnsi="Arial" w:cs="Arial"/>
          <w:b/>
          <w:color w:val="000000" w:themeColor="text1"/>
        </w:rPr>
        <w:t>VI.</w:t>
      </w:r>
    </w:p>
    <w:p w14:paraId="23D8097A" w14:textId="77777777" w:rsidR="00DD43AA" w:rsidRPr="005803E6" w:rsidRDefault="00031F13" w:rsidP="00D574B8">
      <w:pPr>
        <w:jc w:val="center"/>
        <w:rPr>
          <w:rFonts w:ascii="Arial" w:hAnsi="Arial" w:cs="Arial"/>
          <w:b/>
          <w:bCs/>
          <w:color w:val="000000" w:themeColor="text1"/>
          <w:sz w:val="20"/>
          <w:szCs w:val="20"/>
        </w:rPr>
      </w:pPr>
      <w:r w:rsidRPr="005803E6">
        <w:rPr>
          <w:rFonts w:ascii="Arial" w:hAnsi="Arial" w:cs="Arial"/>
          <w:b/>
          <w:bCs/>
          <w:color w:val="000000" w:themeColor="text1"/>
        </w:rPr>
        <w:t>Landesarbeitsgericht Hamm</w:t>
      </w:r>
      <w:r w:rsidRPr="005803E6">
        <w:rPr>
          <w:rFonts w:ascii="Arial" w:hAnsi="Arial" w:cs="Arial"/>
          <w:b/>
          <w:bCs/>
          <w:color w:val="000000" w:themeColor="text1"/>
          <w:sz w:val="20"/>
          <w:szCs w:val="20"/>
        </w:rPr>
        <w:t xml:space="preserve"> </w:t>
      </w:r>
    </w:p>
    <w:p w14:paraId="31F05AB9" w14:textId="77777777" w:rsidR="00031F13" w:rsidRPr="005803E6" w:rsidRDefault="00031F13" w:rsidP="00D574B8">
      <w:pPr>
        <w:jc w:val="center"/>
        <w:rPr>
          <w:rFonts w:ascii="Arial" w:hAnsi="Arial" w:cs="Arial"/>
          <w:color w:val="000000" w:themeColor="text1"/>
        </w:rPr>
      </w:pPr>
      <w:r w:rsidRPr="005803E6">
        <w:rPr>
          <w:rFonts w:ascii="Arial" w:hAnsi="Arial" w:cs="Arial"/>
          <w:bCs/>
          <w:color w:val="000000" w:themeColor="text1"/>
          <w:sz w:val="20"/>
          <w:szCs w:val="20"/>
        </w:rPr>
        <w:t>Urteil vom 28.02.2024 - 9 Sa 634/23</w:t>
      </w:r>
    </w:p>
    <w:p w14:paraId="6CD53708" w14:textId="77777777" w:rsidR="00DD43AA" w:rsidRPr="005803E6" w:rsidRDefault="00DD43AA" w:rsidP="00D574B8">
      <w:pPr>
        <w:jc w:val="both"/>
        <w:rPr>
          <w:rFonts w:ascii="Arial" w:hAnsi="Arial" w:cs="Arial"/>
          <w:b/>
          <w:bCs/>
          <w:color w:val="000000" w:themeColor="text1"/>
          <w:sz w:val="20"/>
          <w:szCs w:val="20"/>
          <w:u w:val="single"/>
        </w:rPr>
      </w:pPr>
    </w:p>
    <w:p w14:paraId="4AAD2737"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Schlagworte/Normen:</w:t>
      </w:r>
    </w:p>
    <w:p w14:paraId="6FC645D0"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rPr>
        <w:t>Altersteilzeit, Anspruch, TV FlexÜ, Überforderungsschutz, mitgliedschaftsanknüpfende Differenzierungsklausel</w:t>
      </w:r>
    </w:p>
    <w:p w14:paraId="24713ECA" w14:textId="77777777" w:rsidR="00DD43AA" w:rsidRPr="005803E6" w:rsidRDefault="00DD43AA" w:rsidP="00D574B8">
      <w:pPr>
        <w:jc w:val="both"/>
        <w:rPr>
          <w:rFonts w:ascii="Arial" w:hAnsi="Arial" w:cs="Arial"/>
          <w:b/>
          <w:bCs/>
          <w:color w:val="000000" w:themeColor="text1"/>
          <w:sz w:val="20"/>
          <w:szCs w:val="20"/>
          <w:u w:val="single"/>
        </w:rPr>
      </w:pPr>
    </w:p>
    <w:p w14:paraId="27829989"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Leitsatz:</w:t>
      </w:r>
    </w:p>
    <w:p w14:paraId="5848E18D" w14:textId="77777777" w:rsidR="00031F13" w:rsidRPr="005803E6" w:rsidRDefault="00031F13" w:rsidP="00D574B8">
      <w:pPr>
        <w:jc w:val="both"/>
        <w:rPr>
          <w:rFonts w:ascii="Arial" w:hAnsi="Arial" w:cs="Arial"/>
          <w:color w:val="000000" w:themeColor="text1"/>
        </w:rPr>
      </w:pPr>
      <w:r w:rsidRPr="005803E6">
        <w:rPr>
          <w:rFonts w:ascii="Arial" w:hAnsi="Arial" w:cs="Arial"/>
          <w:color w:val="000000" w:themeColor="text1"/>
          <w:sz w:val="20"/>
          <w:szCs w:val="20"/>
        </w:rPr>
        <w:t>Die Begrenzung des Anspruchs auf Abschluss eines Altersteilzeitarbeitsvertrags auf vier Prozent der Arbeitnehmer des Betriebes gemäß § 12 Ziffer 12.1.1 Abs. 4 TV FlexÜ bezieht sich ungeachtet ihrer Tarifbindung auf alle Arbeitnehmer. Es sind auch die von der Arbeitgeberin mit nicht oder anders organisierten Arbeitnehmern abgeschlossenen Altersteilzeitarbeitsverträge zu berücksichtigen.</w:t>
      </w:r>
    </w:p>
    <w:p w14:paraId="7F01D4AE" w14:textId="77777777" w:rsidR="00DD43AA" w:rsidRPr="005803E6" w:rsidRDefault="00DD43AA" w:rsidP="00D574B8">
      <w:pPr>
        <w:jc w:val="both"/>
        <w:rPr>
          <w:rFonts w:ascii="Arial" w:hAnsi="Arial" w:cs="Arial"/>
          <w:b/>
          <w:bCs/>
          <w:color w:val="000000" w:themeColor="text1"/>
          <w:sz w:val="20"/>
          <w:szCs w:val="20"/>
          <w:u w:val="single"/>
        </w:rPr>
      </w:pPr>
    </w:p>
    <w:p w14:paraId="04491E16"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Siehe:</w:t>
      </w:r>
    </w:p>
    <w:p w14:paraId="0413E3AC" w14:textId="77777777" w:rsidR="00031F13" w:rsidRPr="005803E6" w:rsidRDefault="00370FDF" w:rsidP="00D574B8">
      <w:pPr>
        <w:jc w:val="both"/>
        <w:rPr>
          <w:rStyle w:val="Hyperlink"/>
          <w:rFonts w:ascii="Arial" w:hAnsi="Arial" w:cs="Arial"/>
          <w:color w:val="000000" w:themeColor="text1"/>
          <w:sz w:val="20"/>
          <w:szCs w:val="20"/>
        </w:rPr>
      </w:pPr>
      <w:hyperlink r:id="rId13" w:tgtFrame="_blank" w:history="1">
        <w:r w:rsidR="00031F13" w:rsidRPr="005803E6">
          <w:rPr>
            <w:rStyle w:val="Hyperlink"/>
            <w:rFonts w:ascii="Arial" w:hAnsi="Arial" w:cs="Arial"/>
            <w:color w:val="000000" w:themeColor="text1"/>
            <w:sz w:val="20"/>
            <w:szCs w:val="20"/>
          </w:rPr>
          <w:t>https://www.justiz.nrw/nrwe/arbgs/hamm/lag_hamm/j2024/9_Sa_634_23_Urteil_20240228.html</w:t>
        </w:r>
      </w:hyperlink>
    </w:p>
    <w:p w14:paraId="0A12015F" w14:textId="77777777" w:rsidR="00DD43AA" w:rsidRPr="005803E6" w:rsidRDefault="00DD43AA" w:rsidP="00D574B8">
      <w:pPr>
        <w:jc w:val="both"/>
        <w:rPr>
          <w:rFonts w:ascii="Arial" w:hAnsi="Arial" w:cs="Arial"/>
          <w:color w:val="000000" w:themeColor="text1"/>
        </w:rPr>
      </w:pPr>
    </w:p>
    <w:p w14:paraId="6FCB62B7" w14:textId="77777777" w:rsidR="00031F13" w:rsidRPr="005803E6" w:rsidRDefault="00031F13" w:rsidP="00D574B8">
      <w:pPr>
        <w:pStyle w:val="Listenabsatz"/>
        <w:keepNext/>
        <w:ind w:left="1080" w:hanging="720"/>
        <w:jc w:val="center"/>
        <w:rPr>
          <w:rFonts w:ascii="Arial" w:hAnsi="Arial" w:cs="Arial"/>
          <w:b/>
          <w:color w:val="000000" w:themeColor="text1"/>
        </w:rPr>
      </w:pPr>
      <w:r w:rsidRPr="005803E6">
        <w:rPr>
          <w:rFonts w:ascii="Arial" w:hAnsi="Arial" w:cs="Arial"/>
          <w:b/>
          <w:color w:val="000000" w:themeColor="text1"/>
        </w:rPr>
        <w:t>VII.</w:t>
      </w:r>
    </w:p>
    <w:p w14:paraId="6896F213" w14:textId="77777777" w:rsidR="00DD43AA" w:rsidRPr="005803E6" w:rsidRDefault="00031F13" w:rsidP="00D574B8">
      <w:pPr>
        <w:jc w:val="center"/>
        <w:rPr>
          <w:rFonts w:ascii="Arial" w:hAnsi="Arial" w:cs="Arial"/>
          <w:b/>
          <w:bCs/>
          <w:color w:val="000000" w:themeColor="text1"/>
        </w:rPr>
      </w:pPr>
      <w:r w:rsidRPr="005803E6">
        <w:rPr>
          <w:rFonts w:ascii="Arial" w:hAnsi="Arial" w:cs="Arial"/>
          <w:b/>
          <w:bCs/>
          <w:color w:val="000000" w:themeColor="text1"/>
        </w:rPr>
        <w:t xml:space="preserve">Landesarbeitsgericht Hamm </w:t>
      </w:r>
    </w:p>
    <w:p w14:paraId="01D1BCD1" w14:textId="77777777" w:rsidR="00031F13" w:rsidRPr="005803E6" w:rsidRDefault="00031F13" w:rsidP="00D574B8">
      <w:pPr>
        <w:jc w:val="center"/>
        <w:rPr>
          <w:rFonts w:ascii="Arial" w:hAnsi="Arial" w:cs="Arial"/>
          <w:color w:val="000000" w:themeColor="text1"/>
          <w:sz w:val="20"/>
          <w:szCs w:val="20"/>
        </w:rPr>
      </w:pPr>
      <w:r w:rsidRPr="005803E6">
        <w:rPr>
          <w:rFonts w:ascii="Arial" w:hAnsi="Arial" w:cs="Arial"/>
          <w:bCs/>
          <w:color w:val="000000" w:themeColor="text1"/>
          <w:sz w:val="20"/>
          <w:szCs w:val="20"/>
        </w:rPr>
        <w:t>Beschluss vom 16.04.2024 - 7 TaBV 7/24</w:t>
      </w:r>
    </w:p>
    <w:p w14:paraId="66453F57" w14:textId="77777777" w:rsidR="00DD43AA" w:rsidRPr="005803E6" w:rsidRDefault="00DD43AA" w:rsidP="00D574B8">
      <w:pPr>
        <w:jc w:val="both"/>
        <w:rPr>
          <w:rFonts w:ascii="Arial" w:hAnsi="Arial" w:cs="Arial"/>
          <w:b/>
          <w:bCs/>
          <w:color w:val="000000" w:themeColor="text1"/>
          <w:sz w:val="20"/>
          <w:szCs w:val="20"/>
          <w:u w:val="single"/>
        </w:rPr>
      </w:pPr>
    </w:p>
    <w:p w14:paraId="099BED43" w14:textId="77777777" w:rsidR="00DD43AA"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Schlagworte/Normen:</w:t>
      </w:r>
    </w:p>
    <w:p w14:paraId="3DE9E919"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rPr>
        <w:t>(Prozess-)Verfahrensbevollmächtigter, Zustellung an Partei (Beteiligte); Angabe der zustellungsfähigen Anschrift in der Antragsschrift, Fristversäumung, Unzulässigkeit der Beschwerde</w:t>
      </w:r>
    </w:p>
    <w:p w14:paraId="51A0420B" w14:textId="77777777" w:rsidR="00DD43AA" w:rsidRPr="005803E6" w:rsidRDefault="00DD43AA" w:rsidP="00D574B8">
      <w:pPr>
        <w:jc w:val="both"/>
        <w:rPr>
          <w:rFonts w:ascii="Arial" w:hAnsi="Arial" w:cs="Arial"/>
          <w:b/>
          <w:bCs/>
          <w:color w:val="000000" w:themeColor="text1"/>
          <w:sz w:val="20"/>
          <w:szCs w:val="20"/>
          <w:u w:val="single"/>
        </w:rPr>
      </w:pPr>
    </w:p>
    <w:p w14:paraId="0C12714C"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Leitsatz:</w:t>
      </w:r>
    </w:p>
    <w:p w14:paraId="3A912728" w14:textId="77777777" w:rsidR="007F576A" w:rsidRDefault="0013090C" w:rsidP="00D574B8">
      <w:pPr>
        <w:jc w:val="both"/>
        <w:rPr>
          <w:rFonts w:ascii="Arial" w:hAnsi="Arial" w:cs="Arial"/>
          <w:color w:val="000000" w:themeColor="text1"/>
        </w:rPr>
      </w:pPr>
      <w:r w:rsidRPr="005803E6">
        <w:rPr>
          <w:rFonts w:ascii="Arial" w:hAnsi="Arial" w:cs="Arial"/>
          <w:color w:val="000000" w:themeColor="text1"/>
          <w:sz w:val="20"/>
          <w:szCs w:val="20"/>
        </w:rPr>
        <w:t xml:space="preserve">1. </w:t>
      </w:r>
      <w:r w:rsidR="00031F13" w:rsidRPr="005803E6">
        <w:rPr>
          <w:rFonts w:ascii="Arial" w:hAnsi="Arial" w:cs="Arial"/>
          <w:color w:val="000000" w:themeColor="text1"/>
          <w:sz w:val="20"/>
          <w:szCs w:val="20"/>
        </w:rPr>
        <w:t>Die Zustellung der erstinstanzlichen Entscheidung an eine Partei (einen Beteiligten) selbst ist wirksam, wenn ein (Prozess-)Verfahrensbevollmächtigter eine entsprechende Bevollmächtigung ggü. dem Gericht mitgeteilt hat.</w:t>
      </w:r>
    </w:p>
    <w:p w14:paraId="6D980C5C" w14:textId="77777777" w:rsidR="007F576A" w:rsidRDefault="007F576A" w:rsidP="00D574B8">
      <w:pPr>
        <w:jc w:val="both"/>
        <w:rPr>
          <w:rFonts w:ascii="Arial" w:hAnsi="Arial" w:cs="Arial"/>
          <w:color w:val="000000" w:themeColor="text1"/>
          <w:sz w:val="20"/>
          <w:szCs w:val="20"/>
        </w:rPr>
      </w:pPr>
    </w:p>
    <w:p w14:paraId="7D1F15A9" w14:textId="77777777" w:rsidR="00031F13" w:rsidRPr="005803E6" w:rsidRDefault="0013090C" w:rsidP="00D574B8">
      <w:pPr>
        <w:jc w:val="both"/>
        <w:rPr>
          <w:rFonts w:ascii="Arial" w:hAnsi="Arial" w:cs="Arial"/>
          <w:color w:val="000000" w:themeColor="text1"/>
        </w:rPr>
      </w:pPr>
      <w:r w:rsidRPr="005803E6">
        <w:rPr>
          <w:rFonts w:ascii="Arial" w:hAnsi="Arial" w:cs="Arial"/>
          <w:color w:val="000000" w:themeColor="text1"/>
          <w:sz w:val="20"/>
          <w:szCs w:val="20"/>
        </w:rPr>
        <w:t xml:space="preserve">2. </w:t>
      </w:r>
      <w:r w:rsidR="00031F13" w:rsidRPr="005803E6">
        <w:rPr>
          <w:rFonts w:ascii="Arial" w:hAnsi="Arial" w:cs="Arial"/>
          <w:color w:val="000000" w:themeColor="text1"/>
          <w:sz w:val="20"/>
          <w:szCs w:val="20"/>
        </w:rPr>
        <w:t>Kann ein Antrag/eine Klage unter der in der (Klage-)Antragsschrift genannten Anschrift (hier: Sitz eines gemeinsamen Betriebes) zugestellt werden und gibt es während des gesamten Verfahrens in erster Instanz weder aus der Akte noch aus dem wechselseitigen Vorbringen der Parteien (Beteiligten) irgendeinen Hinweis darauf, dass unter einer anderen Anschrift (hier: Sitz der Gesellschaft) zugestellt werden soll, so ist die Zustellung der Entscheidung an die in der Antragsschrift bezeichnete Anschrift wirksam.</w:t>
      </w:r>
    </w:p>
    <w:p w14:paraId="2C8EF87F"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Siehe:</w:t>
      </w:r>
    </w:p>
    <w:p w14:paraId="03DFDC9C" w14:textId="77777777" w:rsidR="00031F13" w:rsidRPr="005803E6" w:rsidRDefault="00370FDF" w:rsidP="00D574B8">
      <w:pPr>
        <w:jc w:val="both"/>
        <w:rPr>
          <w:rStyle w:val="Hyperlink"/>
          <w:rFonts w:ascii="Arial" w:hAnsi="Arial" w:cs="Arial"/>
          <w:color w:val="000000" w:themeColor="text1"/>
          <w:sz w:val="20"/>
          <w:szCs w:val="20"/>
        </w:rPr>
      </w:pPr>
      <w:hyperlink r:id="rId14" w:tgtFrame="_blank" w:history="1">
        <w:r w:rsidR="00031F13" w:rsidRPr="005803E6">
          <w:rPr>
            <w:rStyle w:val="Hyperlink"/>
            <w:rFonts w:ascii="Arial" w:hAnsi="Arial" w:cs="Arial"/>
            <w:color w:val="000000" w:themeColor="text1"/>
            <w:sz w:val="20"/>
            <w:szCs w:val="20"/>
          </w:rPr>
          <w:t>https://www.justiz.nrw/BS/nrwe2/index.php#solrNrwe</w:t>
        </w:r>
      </w:hyperlink>
    </w:p>
    <w:p w14:paraId="3E1EF030" w14:textId="77777777" w:rsidR="00DD43AA" w:rsidRPr="005803E6" w:rsidRDefault="00DD43AA" w:rsidP="00D574B8">
      <w:pPr>
        <w:jc w:val="both"/>
        <w:rPr>
          <w:rFonts w:ascii="Arial" w:hAnsi="Arial" w:cs="Arial"/>
          <w:color w:val="000000" w:themeColor="text1"/>
        </w:rPr>
      </w:pPr>
    </w:p>
    <w:p w14:paraId="43F13F06" w14:textId="77777777" w:rsidR="00031F13" w:rsidRPr="005803E6" w:rsidRDefault="00031F13" w:rsidP="00D574B8">
      <w:pPr>
        <w:pStyle w:val="Listenabsatz"/>
        <w:keepNext/>
        <w:ind w:left="1080" w:hanging="720"/>
        <w:jc w:val="center"/>
        <w:rPr>
          <w:rFonts w:ascii="Arial" w:hAnsi="Arial" w:cs="Arial"/>
          <w:b/>
          <w:color w:val="000000" w:themeColor="text1"/>
        </w:rPr>
      </w:pPr>
      <w:r w:rsidRPr="005803E6">
        <w:rPr>
          <w:rFonts w:ascii="Arial" w:hAnsi="Arial" w:cs="Arial"/>
          <w:b/>
          <w:color w:val="000000" w:themeColor="text1"/>
        </w:rPr>
        <w:t>VIII.</w:t>
      </w:r>
    </w:p>
    <w:p w14:paraId="190B9E00" w14:textId="77777777" w:rsidR="0013090C" w:rsidRPr="005803E6" w:rsidRDefault="00031F13" w:rsidP="00D574B8">
      <w:pPr>
        <w:jc w:val="center"/>
        <w:rPr>
          <w:rFonts w:ascii="Arial" w:hAnsi="Arial" w:cs="Arial"/>
          <w:b/>
          <w:bCs/>
          <w:color w:val="000000" w:themeColor="text1"/>
        </w:rPr>
      </w:pPr>
      <w:r w:rsidRPr="005803E6">
        <w:rPr>
          <w:rFonts w:ascii="Arial" w:hAnsi="Arial" w:cs="Arial"/>
          <w:b/>
          <w:bCs/>
          <w:color w:val="000000" w:themeColor="text1"/>
        </w:rPr>
        <w:t>Landesarbeitsgericht Niedersachsen</w:t>
      </w:r>
    </w:p>
    <w:p w14:paraId="6DB93127" w14:textId="77777777" w:rsidR="00031F13" w:rsidRPr="005803E6" w:rsidRDefault="00031F13" w:rsidP="00D574B8">
      <w:pPr>
        <w:jc w:val="center"/>
        <w:rPr>
          <w:rFonts w:ascii="Arial" w:hAnsi="Arial" w:cs="Arial"/>
          <w:color w:val="000000" w:themeColor="text1"/>
        </w:rPr>
      </w:pPr>
      <w:r w:rsidRPr="005803E6">
        <w:rPr>
          <w:rFonts w:ascii="Arial" w:hAnsi="Arial" w:cs="Arial"/>
          <w:bCs/>
          <w:color w:val="000000" w:themeColor="text1"/>
          <w:sz w:val="20"/>
          <w:szCs w:val="20"/>
        </w:rPr>
        <w:t>Urt. v. 20.02.2024, Az.: 9 Sa 577/23</w:t>
      </w:r>
    </w:p>
    <w:p w14:paraId="749F861F" w14:textId="77777777" w:rsidR="0013090C" w:rsidRPr="005803E6" w:rsidRDefault="0013090C" w:rsidP="00D574B8">
      <w:pPr>
        <w:jc w:val="both"/>
        <w:rPr>
          <w:rFonts w:ascii="Arial" w:hAnsi="Arial" w:cs="Arial"/>
          <w:b/>
          <w:bCs/>
          <w:color w:val="000000" w:themeColor="text1"/>
          <w:sz w:val="20"/>
          <w:szCs w:val="20"/>
          <w:u w:val="single"/>
        </w:rPr>
      </w:pPr>
    </w:p>
    <w:p w14:paraId="26E95544"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Schlagworte/Normen:</w:t>
      </w:r>
    </w:p>
    <w:p w14:paraId="6078CADF"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rPr>
        <w:t>abgestufte Darlegungslast; Arbeitszeitbetrug; falsche Dokumentation; abgestufte Darlegungs- und Beweislast; Interessenabwägung</w:t>
      </w:r>
    </w:p>
    <w:p w14:paraId="150BBD8F" w14:textId="77777777" w:rsidR="0013090C" w:rsidRPr="005803E6" w:rsidRDefault="0013090C" w:rsidP="00D574B8">
      <w:pPr>
        <w:jc w:val="both"/>
        <w:rPr>
          <w:rFonts w:ascii="Arial" w:hAnsi="Arial" w:cs="Arial"/>
          <w:b/>
          <w:bCs/>
          <w:color w:val="000000" w:themeColor="text1"/>
          <w:sz w:val="20"/>
          <w:szCs w:val="20"/>
          <w:u w:val="single"/>
        </w:rPr>
      </w:pPr>
    </w:p>
    <w:p w14:paraId="7E73C3AE"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Leitsatz:</w:t>
      </w:r>
    </w:p>
    <w:p w14:paraId="3A26D4E9" w14:textId="77777777" w:rsidR="00031F13" w:rsidRPr="005803E6" w:rsidRDefault="00031F13" w:rsidP="00D574B8">
      <w:pPr>
        <w:jc w:val="both"/>
        <w:rPr>
          <w:rFonts w:ascii="Arial" w:hAnsi="Arial" w:cs="Arial"/>
          <w:color w:val="000000" w:themeColor="text1"/>
        </w:rPr>
      </w:pPr>
      <w:r w:rsidRPr="005803E6">
        <w:rPr>
          <w:rFonts w:ascii="Arial" w:hAnsi="Arial" w:cs="Arial"/>
          <w:color w:val="000000" w:themeColor="text1"/>
          <w:sz w:val="20"/>
          <w:szCs w:val="20"/>
        </w:rPr>
        <w:t>Allein der Umstand, dass eine Arbeitnehmerin nach Beendigung einer Einsatzfahrt später ausstempelt als andere Teammitglieder, begründet noch keinen hinreichenden Verdacht eines Arbeitszeitbetruges, wenn unstreitig Nacharbeiten zu erledigen sind, die auch von einem Teammitglied allein erledigt werden können. Auch der Vergleich mit den Arbeitszeiten anderer Teams begründet in diesen Fällen allein keinen hinreichenden Verdacht eines Arbeitszeitbetruges. Der Arbeitgeber hat vielmehr im Wege der abgestuften Darlegungs- und Beweislast weitere belastende Umstände darzulegen. Ein in einer Anhörung abgegebenes - streitiges - Geständnis rechtfertigt allein nicht den Vorwurf eines Arbeitszeitbetruges, wenn im Prozess konkret vorgetragen wird, welche Arbeiten in dem - streitigen - Zeitraum geleistet wurden. Der im Kündigungsschutzprozess darlegungs- und beweispflichtige Arbeitgeber muss die behaupteten Arbeiten widerlegen.</w:t>
      </w:r>
    </w:p>
    <w:p w14:paraId="7EC2BB4B" w14:textId="77777777" w:rsidR="0013090C" w:rsidRPr="005803E6" w:rsidRDefault="0013090C" w:rsidP="00D574B8">
      <w:pPr>
        <w:jc w:val="both"/>
        <w:rPr>
          <w:rFonts w:ascii="Arial" w:hAnsi="Arial" w:cs="Arial"/>
          <w:b/>
          <w:bCs/>
          <w:color w:val="000000" w:themeColor="text1"/>
          <w:sz w:val="20"/>
          <w:szCs w:val="20"/>
          <w:u w:val="single"/>
        </w:rPr>
      </w:pPr>
    </w:p>
    <w:p w14:paraId="0F98257C"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Siehe:</w:t>
      </w:r>
    </w:p>
    <w:p w14:paraId="5AE2B5A0" w14:textId="77777777" w:rsidR="00031F13" w:rsidRPr="005803E6" w:rsidRDefault="00370FDF" w:rsidP="00D574B8">
      <w:pPr>
        <w:jc w:val="both"/>
        <w:rPr>
          <w:rFonts w:ascii="Arial" w:hAnsi="Arial" w:cs="Arial"/>
          <w:color w:val="000000" w:themeColor="text1"/>
        </w:rPr>
      </w:pPr>
      <w:hyperlink r:id="rId15" w:tgtFrame="_blank" w:history="1">
        <w:r w:rsidR="00031F13" w:rsidRPr="005803E6">
          <w:rPr>
            <w:rStyle w:val="Hyperlink"/>
            <w:rFonts w:ascii="Arial" w:hAnsi="Arial" w:cs="Arial"/>
            <w:color w:val="000000" w:themeColor="text1"/>
            <w:sz w:val="20"/>
            <w:szCs w:val="20"/>
          </w:rPr>
          <w:t>https://voris.wolterskluwer-online.de/browse/document/29a8225c-5dc5-4739-bbd9-232e1b4129ef</w:t>
        </w:r>
      </w:hyperlink>
    </w:p>
    <w:p w14:paraId="465EA214" w14:textId="77777777" w:rsidR="005803E6" w:rsidRPr="005529F7" w:rsidRDefault="005803E6" w:rsidP="00D574B8">
      <w:pPr>
        <w:keepNext/>
        <w:jc w:val="both"/>
        <w:rPr>
          <w:rFonts w:ascii="Arial" w:hAnsi="Arial" w:cs="Arial"/>
          <w:color w:val="000000" w:themeColor="text1"/>
        </w:rPr>
      </w:pPr>
    </w:p>
    <w:p w14:paraId="377CA2C5" w14:textId="77777777" w:rsidR="00031F13" w:rsidRPr="005803E6" w:rsidRDefault="00031F13" w:rsidP="00D574B8">
      <w:pPr>
        <w:pStyle w:val="Listenabsatz"/>
        <w:keepNext/>
        <w:ind w:left="1080" w:hanging="720"/>
        <w:jc w:val="center"/>
        <w:rPr>
          <w:rFonts w:ascii="Arial" w:hAnsi="Arial" w:cs="Arial"/>
          <w:b/>
          <w:color w:val="000000" w:themeColor="text1"/>
        </w:rPr>
      </w:pPr>
      <w:r w:rsidRPr="005803E6">
        <w:rPr>
          <w:rFonts w:ascii="Arial" w:hAnsi="Arial" w:cs="Arial"/>
          <w:b/>
          <w:color w:val="000000" w:themeColor="text1"/>
        </w:rPr>
        <w:t>IX.</w:t>
      </w:r>
    </w:p>
    <w:p w14:paraId="437D40AC" w14:textId="77777777" w:rsidR="005529F7" w:rsidRDefault="00031F13" w:rsidP="00D574B8">
      <w:pPr>
        <w:jc w:val="center"/>
        <w:rPr>
          <w:rFonts w:ascii="Arial" w:hAnsi="Arial" w:cs="Arial"/>
          <w:b/>
          <w:bCs/>
          <w:color w:val="000000" w:themeColor="text1"/>
        </w:rPr>
      </w:pPr>
      <w:r w:rsidRPr="005803E6">
        <w:rPr>
          <w:rFonts w:ascii="Arial" w:hAnsi="Arial" w:cs="Arial"/>
          <w:b/>
          <w:bCs/>
          <w:color w:val="000000" w:themeColor="text1"/>
        </w:rPr>
        <w:t>Landesarbeitsgericht Niedersachsen</w:t>
      </w:r>
    </w:p>
    <w:p w14:paraId="3726EFE9" w14:textId="77777777" w:rsidR="00031F13" w:rsidRPr="005529F7" w:rsidRDefault="00031F13" w:rsidP="00D574B8">
      <w:pPr>
        <w:jc w:val="center"/>
        <w:rPr>
          <w:rFonts w:ascii="Arial" w:hAnsi="Arial" w:cs="Arial"/>
          <w:color w:val="000000" w:themeColor="text1"/>
        </w:rPr>
      </w:pPr>
      <w:r w:rsidRPr="005529F7">
        <w:rPr>
          <w:rFonts w:ascii="Arial" w:hAnsi="Arial" w:cs="Arial"/>
          <w:bCs/>
          <w:color w:val="000000" w:themeColor="text1"/>
          <w:sz w:val="20"/>
          <w:szCs w:val="20"/>
        </w:rPr>
        <w:t>Urt. v. 21.02.2024, Az.: 8 Sa 564/23</w:t>
      </w:r>
    </w:p>
    <w:p w14:paraId="6BCE86EC" w14:textId="77777777" w:rsidR="005529F7" w:rsidRDefault="005529F7" w:rsidP="00D574B8">
      <w:pPr>
        <w:jc w:val="both"/>
        <w:rPr>
          <w:rFonts w:ascii="Arial" w:hAnsi="Arial" w:cs="Arial"/>
          <w:b/>
          <w:bCs/>
          <w:color w:val="000000" w:themeColor="text1"/>
          <w:sz w:val="20"/>
          <w:szCs w:val="20"/>
          <w:u w:val="single"/>
        </w:rPr>
      </w:pPr>
    </w:p>
    <w:p w14:paraId="6D1AFE4C"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Schlagworte/Normen:</w:t>
      </w:r>
    </w:p>
    <w:p w14:paraId="3F9A9F79"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rPr>
        <w:t>Knüpfung der Zahlung einer Inflationsausgleichsprämie durch den Arbeitgeber an weitere Bedingungen; Abhängigkeit der Auszahlung einer Inflationsausgleichsprämie bzw. eines Inflationsbonus von der Zugehörigkeit der bzw. des Beschäftigten zur "active workforce"</w:t>
      </w:r>
    </w:p>
    <w:p w14:paraId="29E4B428" w14:textId="77777777" w:rsidR="005529F7" w:rsidRDefault="005529F7" w:rsidP="00D574B8">
      <w:pPr>
        <w:jc w:val="both"/>
        <w:rPr>
          <w:rFonts w:ascii="Arial" w:hAnsi="Arial" w:cs="Arial"/>
          <w:b/>
          <w:bCs/>
          <w:color w:val="000000" w:themeColor="text1"/>
          <w:sz w:val="20"/>
          <w:szCs w:val="20"/>
          <w:u w:val="single"/>
        </w:rPr>
      </w:pPr>
    </w:p>
    <w:p w14:paraId="45E03C25"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Leitsatz:</w:t>
      </w:r>
    </w:p>
    <w:p w14:paraId="46703A92" w14:textId="77777777" w:rsidR="00031F13" w:rsidRPr="005803E6" w:rsidRDefault="005529F7" w:rsidP="00D574B8">
      <w:pPr>
        <w:jc w:val="both"/>
        <w:rPr>
          <w:rFonts w:ascii="Arial" w:hAnsi="Arial" w:cs="Arial"/>
          <w:color w:val="000000" w:themeColor="text1"/>
        </w:rPr>
      </w:pPr>
      <w:r>
        <w:rPr>
          <w:rFonts w:ascii="Arial" w:hAnsi="Arial" w:cs="Arial"/>
          <w:color w:val="000000" w:themeColor="text1"/>
          <w:sz w:val="20"/>
          <w:szCs w:val="20"/>
        </w:rPr>
        <w:t xml:space="preserve">1. </w:t>
      </w:r>
      <w:r w:rsidR="00031F13" w:rsidRPr="005803E6">
        <w:rPr>
          <w:rFonts w:ascii="Arial" w:hAnsi="Arial" w:cs="Arial"/>
          <w:color w:val="000000" w:themeColor="text1"/>
          <w:sz w:val="20"/>
          <w:szCs w:val="20"/>
        </w:rPr>
        <w:t>Die im Gesetz zur temporären Senkung des Umsatzsteuersatzes auf Gaslieferung über das Erdgasnetz in § 3 Nr.</w:t>
      </w:r>
      <w:r w:rsidRPr="005803E6">
        <w:rPr>
          <w:rFonts w:ascii="Arial" w:hAnsi="Arial" w:cs="Arial"/>
          <w:color w:val="000000" w:themeColor="text1"/>
          <w:sz w:val="20"/>
          <w:szCs w:val="20"/>
        </w:rPr>
        <w:t xml:space="preserve"> </w:t>
      </w:r>
      <w:r w:rsidR="00031F13" w:rsidRPr="005803E6">
        <w:rPr>
          <w:rFonts w:ascii="Arial" w:hAnsi="Arial" w:cs="Arial"/>
          <w:color w:val="000000" w:themeColor="text1"/>
          <w:sz w:val="20"/>
          <w:szCs w:val="20"/>
        </w:rPr>
        <w:t xml:space="preserve">11 des Einkommensteuergesetzes beschlossene Steuerfreiheit der Inflationsausgleichsprämie sieht keine Regelung vor, dass die Prämie an alle Arbeitnehmerinnen und Arbeitnehmer ausgezahlt werden muss. </w:t>
      </w:r>
    </w:p>
    <w:p w14:paraId="5A83D8CA" w14:textId="77777777" w:rsidR="007F576A" w:rsidRDefault="007F576A" w:rsidP="00D574B8">
      <w:pPr>
        <w:jc w:val="both"/>
        <w:rPr>
          <w:rFonts w:ascii="Arial" w:hAnsi="Arial" w:cs="Arial"/>
          <w:color w:val="000000" w:themeColor="text1"/>
          <w:sz w:val="20"/>
          <w:szCs w:val="20"/>
        </w:rPr>
      </w:pPr>
    </w:p>
    <w:p w14:paraId="0F20B0DA" w14:textId="77777777" w:rsidR="00031F13" w:rsidRPr="005803E6" w:rsidRDefault="005529F7" w:rsidP="00D574B8">
      <w:pPr>
        <w:jc w:val="both"/>
        <w:rPr>
          <w:rFonts w:ascii="Arial" w:hAnsi="Arial" w:cs="Arial"/>
          <w:color w:val="000000" w:themeColor="text1"/>
        </w:rPr>
      </w:pPr>
      <w:r>
        <w:rPr>
          <w:rFonts w:ascii="Arial" w:hAnsi="Arial" w:cs="Arial"/>
          <w:color w:val="000000" w:themeColor="text1"/>
          <w:sz w:val="20"/>
          <w:szCs w:val="20"/>
        </w:rPr>
        <w:t xml:space="preserve">2. </w:t>
      </w:r>
      <w:r w:rsidR="00031F13" w:rsidRPr="005803E6">
        <w:rPr>
          <w:rFonts w:ascii="Arial" w:hAnsi="Arial" w:cs="Arial"/>
          <w:color w:val="000000" w:themeColor="text1"/>
          <w:sz w:val="20"/>
          <w:szCs w:val="20"/>
        </w:rPr>
        <w:t>Der Arbeitgeber ist grundsätzlich nicht gehindert, die Zahlung einer Inflationsausgleichsprämie an weitere Bedingungen zu knüpfen.</w:t>
      </w:r>
    </w:p>
    <w:p w14:paraId="742D4B26" w14:textId="77777777" w:rsidR="007F576A" w:rsidRDefault="007F576A" w:rsidP="00D574B8">
      <w:pPr>
        <w:jc w:val="both"/>
        <w:rPr>
          <w:rFonts w:ascii="Arial" w:hAnsi="Arial" w:cs="Arial"/>
          <w:color w:val="000000" w:themeColor="text1"/>
          <w:sz w:val="20"/>
          <w:szCs w:val="20"/>
        </w:rPr>
      </w:pPr>
    </w:p>
    <w:p w14:paraId="08A8D43D" w14:textId="77777777" w:rsidR="00031F13" w:rsidRPr="005803E6" w:rsidRDefault="005529F7" w:rsidP="00D574B8">
      <w:pPr>
        <w:jc w:val="both"/>
        <w:rPr>
          <w:rFonts w:ascii="Arial" w:hAnsi="Arial" w:cs="Arial"/>
          <w:color w:val="000000" w:themeColor="text1"/>
        </w:rPr>
      </w:pPr>
      <w:r>
        <w:rPr>
          <w:rFonts w:ascii="Arial" w:hAnsi="Arial" w:cs="Arial"/>
          <w:color w:val="000000" w:themeColor="text1"/>
          <w:sz w:val="20"/>
          <w:szCs w:val="20"/>
        </w:rPr>
        <w:t xml:space="preserve">3. </w:t>
      </w:r>
      <w:r w:rsidR="00031F13" w:rsidRPr="005803E6">
        <w:rPr>
          <w:rFonts w:ascii="Arial" w:hAnsi="Arial" w:cs="Arial"/>
          <w:color w:val="000000" w:themeColor="text1"/>
          <w:sz w:val="20"/>
          <w:szCs w:val="20"/>
        </w:rPr>
        <w:t>Es verstößt nicht gegen den arbeitsrechtlichen Gleichbehandlungsgrundsatz, wenn ein Arbeitgeber zur weiteren Bedingung der Auszahlung einer Inflationsausgleichsprämie bzw. eines Inflationsbonus macht, dass der bzw. die Beschäftigte Teil seiner "active workforce" ist. Es ist nicht sachwidrig, eine Sonderleistung nur denjenigen Beschäftigten zukommen zu lassen, von denen sich der Arbeitgeber auch in Zukunft Arbeitsleistung erwartet bzw. erhofft, um hierfür einen Anreiz zu setzen.</w:t>
      </w:r>
    </w:p>
    <w:p w14:paraId="4FE2DD22" w14:textId="77777777" w:rsidR="00D574B8" w:rsidRDefault="00D574B8" w:rsidP="00D574B8">
      <w:pPr>
        <w:jc w:val="both"/>
        <w:rPr>
          <w:rFonts w:ascii="Arial" w:hAnsi="Arial" w:cs="Arial"/>
          <w:b/>
          <w:bCs/>
          <w:color w:val="000000" w:themeColor="text1"/>
          <w:sz w:val="20"/>
          <w:szCs w:val="20"/>
          <w:u w:val="single"/>
        </w:rPr>
      </w:pPr>
    </w:p>
    <w:p w14:paraId="4D4A4B4D"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Siehe:</w:t>
      </w:r>
    </w:p>
    <w:p w14:paraId="36379CAB" w14:textId="77777777" w:rsidR="00031F13" w:rsidRDefault="00370FDF" w:rsidP="00D574B8">
      <w:pPr>
        <w:jc w:val="both"/>
        <w:rPr>
          <w:rStyle w:val="Hyperlink"/>
          <w:rFonts w:ascii="Arial" w:hAnsi="Arial" w:cs="Arial"/>
          <w:color w:val="000000" w:themeColor="text1"/>
          <w:sz w:val="20"/>
          <w:szCs w:val="20"/>
        </w:rPr>
      </w:pPr>
      <w:hyperlink r:id="rId16" w:tgtFrame="_blank" w:history="1">
        <w:r w:rsidR="00031F13" w:rsidRPr="005803E6">
          <w:rPr>
            <w:rStyle w:val="Hyperlink"/>
            <w:rFonts w:ascii="Arial" w:hAnsi="Arial" w:cs="Arial"/>
            <w:color w:val="000000" w:themeColor="text1"/>
            <w:sz w:val="20"/>
            <w:szCs w:val="20"/>
          </w:rPr>
          <w:t>https://voris.wolterskluwer-online.de/browse/document/d4ecd029-cff0-4968-bd35-620cd3fcd949</w:t>
        </w:r>
      </w:hyperlink>
    </w:p>
    <w:p w14:paraId="0E8221D8" w14:textId="77777777" w:rsidR="00D574B8" w:rsidRPr="005803E6" w:rsidRDefault="00D574B8" w:rsidP="00D574B8">
      <w:pPr>
        <w:jc w:val="both"/>
        <w:rPr>
          <w:rFonts w:ascii="Arial" w:hAnsi="Arial" w:cs="Arial"/>
          <w:color w:val="000000" w:themeColor="text1"/>
        </w:rPr>
      </w:pPr>
    </w:p>
    <w:p w14:paraId="31590727" w14:textId="77777777" w:rsidR="00031F13" w:rsidRPr="00D574B8" w:rsidRDefault="00031F13" w:rsidP="00D574B8">
      <w:pPr>
        <w:pStyle w:val="Listenabsatz"/>
        <w:keepNext/>
        <w:ind w:left="1080" w:hanging="720"/>
        <w:jc w:val="center"/>
        <w:rPr>
          <w:rFonts w:ascii="Arial" w:hAnsi="Arial" w:cs="Arial"/>
          <w:b/>
          <w:color w:val="000000" w:themeColor="text1"/>
        </w:rPr>
      </w:pPr>
      <w:r w:rsidRPr="00D574B8">
        <w:rPr>
          <w:rFonts w:ascii="Arial" w:hAnsi="Arial" w:cs="Arial"/>
          <w:b/>
          <w:color w:val="000000" w:themeColor="text1"/>
        </w:rPr>
        <w:t>X.</w:t>
      </w:r>
    </w:p>
    <w:p w14:paraId="3F743909" w14:textId="77777777" w:rsidR="00D574B8" w:rsidRDefault="00031F13" w:rsidP="00D574B8">
      <w:pPr>
        <w:jc w:val="center"/>
        <w:rPr>
          <w:rFonts w:ascii="Arial" w:hAnsi="Arial" w:cs="Arial"/>
          <w:b/>
          <w:bCs/>
          <w:color w:val="000000" w:themeColor="text1"/>
        </w:rPr>
      </w:pPr>
      <w:r w:rsidRPr="005803E6">
        <w:rPr>
          <w:rFonts w:ascii="Arial" w:hAnsi="Arial" w:cs="Arial"/>
          <w:b/>
          <w:bCs/>
          <w:color w:val="000000" w:themeColor="text1"/>
        </w:rPr>
        <w:t>Landesarbeitsgericht Niedersachsen</w:t>
      </w:r>
    </w:p>
    <w:p w14:paraId="68BCEE40" w14:textId="77777777" w:rsidR="00031F13" w:rsidRPr="00D574B8" w:rsidRDefault="00031F13" w:rsidP="00D574B8">
      <w:pPr>
        <w:jc w:val="center"/>
        <w:rPr>
          <w:rFonts w:ascii="Arial" w:hAnsi="Arial" w:cs="Arial"/>
          <w:color w:val="000000" w:themeColor="text1"/>
        </w:rPr>
      </w:pPr>
      <w:r w:rsidRPr="00D574B8">
        <w:rPr>
          <w:rFonts w:ascii="Arial" w:hAnsi="Arial" w:cs="Arial"/>
          <w:bCs/>
          <w:color w:val="000000" w:themeColor="text1"/>
          <w:sz w:val="20"/>
          <w:szCs w:val="20"/>
        </w:rPr>
        <w:t>Beschl. v. 28.02.2024, Az.: 13 TaBV 40/23</w:t>
      </w:r>
    </w:p>
    <w:p w14:paraId="330D013D" w14:textId="77777777" w:rsidR="00031F13" w:rsidRPr="005803E6" w:rsidRDefault="00031F13" w:rsidP="00D574B8">
      <w:pPr>
        <w:rPr>
          <w:rFonts w:ascii="Arial" w:hAnsi="Arial" w:cs="Arial"/>
          <w:color w:val="000000" w:themeColor="text1"/>
        </w:rPr>
      </w:pPr>
    </w:p>
    <w:p w14:paraId="14F561E5"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Schlagworte/Normen:</w:t>
      </w:r>
    </w:p>
    <w:p w14:paraId="24B954C7"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rPr>
        <w:t>Dokumentation der erforderlichen Betriebsratsarbeit im Rahmen betrieblicher Arbeitszeiterfassung als Arbeitszeit; Ersetzung der Zustimmung des Betriebsrates zu einer beabsichtigten außerordentlichen Tat-, hilfsweise Verdachtskündigung</w:t>
      </w:r>
    </w:p>
    <w:p w14:paraId="74F60DD0" w14:textId="77777777" w:rsidR="005B0A0D" w:rsidRDefault="005B0A0D" w:rsidP="00D574B8">
      <w:pPr>
        <w:jc w:val="both"/>
        <w:rPr>
          <w:rFonts w:ascii="Arial" w:hAnsi="Arial" w:cs="Arial"/>
          <w:b/>
          <w:bCs/>
          <w:color w:val="000000" w:themeColor="text1"/>
          <w:sz w:val="20"/>
          <w:szCs w:val="20"/>
          <w:u w:val="single"/>
        </w:rPr>
      </w:pPr>
    </w:p>
    <w:p w14:paraId="1E7CD542"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Leitsatz:</w:t>
      </w:r>
    </w:p>
    <w:p w14:paraId="360DFFA5" w14:textId="77777777" w:rsidR="00031F13" w:rsidRPr="005803E6" w:rsidRDefault="005B0A0D" w:rsidP="00D574B8">
      <w:pPr>
        <w:jc w:val="both"/>
        <w:rPr>
          <w:rFonts w:ascii="Arial" w:hAnsi="Arial" w:cs="Arial"/>
          <w:color w:val="000000" w:themeColor="text1"/>
        </w:rPr>
      </w:pPr>
      <w:r>
        <w:rPr>
          <w:rFonts w:ascii="Arial" w:hAnsi="Arial" w:cs="Arial"/>
          <w:color w:val="000000" w:themeColor="text1"/>
          <w:sz w:val="20"/>
          <w:szCs w:val="20"/>
        </w:rPr>
        <w:t xml:space="preserve">1. </w:t>
      </w:r>
      <w:r w:rsidR="00031F13" w:rsidRPr="005803E6">
        <w:rPr>
          <w:rFonts w:ascii="Arial" w:hAnsi="Arial" w:cs="Arial"/>
          <w:color w:val="000000" w:themeColor="text1"/>
          <w:sz w:val="20"/>
          <w:szCs w:val="20"/>
        </w:rPr>
        <w:t>Anstelle der Arbeitspflicht tritt bei einem freigestellten Betriebsratsmitglied die Verpflichtung, während seiner arbeitsvertraglichen Arbeitszeit im Betrieb am Sitz des Betriebsrats, dem er angehört, erforderliche Betriebsratsarbeit zu verrichten, bzw. anwesend zu sein um sich dort für anfallende Betriebsratsarbeit bereitzuhalten (vgl. BAG 10.07.2013</w:t>
      </w:r>
      <w:r>
        <w:rPr>
          <w:rFonts w:ascii="Arial" w:hAnsi="Arial" w:cs="Arial"/>
          <w:color w:val="000000" w:themeColor="text1"/>
          <w:sz w:val="20"/>
          <w:szCs w:val="20"/>
        </w:rPr>
        <w:t xml:space="preserve"> </w:t>
      </w:r>
      <w:r w:rsidR="00031F13" w:rsidRPr="005803E6">
        <w:rPr>
          <w:rFonts w:ascii="Arial" w:hAnsi="Arial" w:cs="Arial"/>
          <w:color w:val="000000" w:themeColor="text1"/>
          <w:sz w:val="20"/>
          <w:szCs w:val="20"/>
        </w:rPr>
        <w:t>7 ABR 22/12 , Rn.</w:t>
      </w:r>
      <w:r w:rsidRPr="005803E6">
        <w:rPr>
          <w:rFonts w:ascii="Arial" w:hAnsi="Arial" w:cs="Arial"/>
          <w:color w:val="000000" w:themeColor="text1"/>
          <w:sz w:val="20"/>
          <w:szCs w:val="20"/>
        </w:rPr>
        <w:t xml:space="preserve"> </w:t>
      </w:r>
      <w:r w:rsidR="00031F13" w:rsidRPr="005803E6">
        <w:rPr>
          <w:rFonts w:ascii="Arial" w:hAnsi="Arial" w:cs="Arial"/>
          <w:color w:val="000000" w:themeColor="text1"/>
          <w:sz w:val="20"/>
          <w:szCs w:val="20"/>
        </w:rPr>
        <w:t>20, juris). Mithin darf es grundsätzlich auch nur solche Zeiten im Rahmen betrieblicher Arbeitszeiterfassung als Arbeitszeit dokumentieren. Entsprechendes gilt für die Zeiten, in denen das Betriebsratsmitglied aufgrund eines ordnungsgemäßen Betriebsratsbeschlusses außerhalb des Betriebs an einer Schulungs- und Bildungsveranstaltung i.S.v. § 37 Abs.</w:t>
      </w:r>
      <w:r w:rsidRPr="005803E6">
        <w:rPr>
          <w:rFonts w:ascii="Arial" w:hAnsi="Arial" w:cs="Arial"/>
          <w:color w:val="000000" w:themeColor="text1"/>
          <w:sz w:val="20"/>
          <w:szCs w:val="20"/>
        </w:rPr>
        <w:t xml:space="preserve"> </w:t>
      </w:r>
      <w:r w:rsidR="00031F13" w:rsidRPr="005803E6">
        <w:rPr>
          <w:rFonts w:ascii="Arial" w:hAnsi="Arial" w:cs="Arial"/>
          <w:color w:val="000000" w:themeColor="text1"/>
          <w:sz w:val="20"/>
          <w:szCs w:val="20"/>
        </w:rPr>
        <w:t>6 und Abs.</w:t>
      </w:r>
      <w:r w:rsidRPr="005803E6">
        <w:rPr>
          <w:rFonts w:ascii="Arial" w:hAnsi="Arial" w:cs="Arial"/>
          <w:color w:val="000000" w:themeColor="text1"/>
          <w:sz w:val="20"/>
          <w:szCs w:val="20"/>
        </w:rPr>
        <w:t xml:space="preserve"> </w:t>
      </w:r>
      <w:r w:rsidR="00031F13" w:rsidRPr="005803E6">
        <w:rPr>
          <w:rFonts w:ascii="Arial" w:hAnsi="Arial" w:cs="Arial"/>
          <w:color w:val="000000" w:themeColor="text1"/>
          <w:sz w:val="20"/>
          <w:szCs w:val="20"/>
        </w:rPr>
        <w:t xml:space="preserve">7 BetrVG tatsächlich teilnimmt oder sich hierfür bereitgehalten hat. </w:t>
      </w:r>
    </w:p>
    <w:p w14:paraId="52153F65" w14:textId="77777777" w:rsidR="005B0A0D" w:rsidRDefault="005B0A0D" w:rsidP="00D574B8">
      <w:pPr>
        <w:jc w:val="both"/>
        <w:rPr>
          <w:rFonts w:ascii="Arial" w:hAnsi="Arial" w:cs="Arial"/>
          <w:color w:val="000000" w:themeColor="text1"/>
          <w:sz w:val="20"/>
          <w:szCs w:val="20"/>
        </w:rPr>
      </w:pPr>
    </w:p>
    <w:p w14:paraId="142DF975" w14:textId="77777777" w:rsidR="00031F13" w:rsidRPr="005803E6" w:rsidRDefault="005B0A0D" w:rsidP="00D574B8">
      <w:pPr>
        <w:jc w:val="both"/>
        <w:rPr>
          <w:rFonts w:ascii="Arial" w:hAnsi="Arial" w:cs="Arial"/>
          <w:color w:val="000000" w:themeColor="text1"/>
        </w:rPr>
      </w:pPr>
      <w:r>
        <w:rPr>
          <w:rFonts w:ascii="Arial" w:hAnsi="Arial" w:cs="Arial"/>
          <w:color w:val="000000" w:themeColor="text1"/>
          <w:sz w:val="20"/>
          <w:szCs w:val="20"/>
        </w:rPr>
        <w:t xml:space="preserve">2. </w:t>
      </w:r>
      <w:r w:rsidR="00031F13" w:rsidRPr="005803E6">
        <w:rPr>
          <w:rFonts w:ascii="Arial" w:hAnsi="Arial" w:cs="Arial"/>
          <w:color w:val="000000" w:themeColor="text1"/>
          <w:sz w:val="20"/>
          <w:szCs w:val="20"/>
        </w:rPr>
        <w:t>Die Prüfung der Frage, ob eine Tätigkeit zur ordnungsgemäßen Durchführung der Aufgaben des Betriebsrats erforderlich ist, obliegt auch dem einzelnen Betriebsratsmitglied. Ihm steht insoweit ein Beurteilungsspielraum zu. Es darf die Frage der Erforderlichkeit allerdings nicht allein nach seinem subjektiven Ermessen beantworten, sondern muss die Interessen des Betriebs einerseits und des Betriebsrats und der Belegschaft andererseits gegeneinander abwägen.</w:t>
      </w:r>
    </w:p>
    <w:p w14:paraId="42C7C955" w14:textId="77777777" w:rsidR="005B0A0D" w:rsidRDefault="005B0A0D" w:rsidP="00D574B8">
      <w:pPr>
        <w:jc w:val="both"/>
        <w:rPr>
          <w:rFonts w:ascii="Arial" w:hAnsi="Arial" w:cs="Arial"/>
          <w:color w:val="000000" w:themeColor="text1"/>
          <w:sz w:val="20"/>
          <w:szCs w:val="20"/>
        </w:rPr>
      </w:pPr>
    </w:p>
    <w:p w14:paraId="058394D4" w14:textId="77777777" w:rsidR="00031F13" w:rsidRPr="005803E6" w:rsidRDefault="005B0A0D" w:rsidP="00D574B8">
      <w:pPr>
        <w:jc w:val="both"/>
        <w:rPr>
          <w:rFonts w:ascii="Arial" w:hAnsi="Arial" w:cs="Arial"/>
          <w:color w:val="000000" w:themeColor="text1"/>
        </w:rPr>
      </w:pPr>
      <w:r>
        <w:rPr>
          <w:rFonts w:ascii="Arial" w:hAnsi="Arial" w:cs="Arial"/>
          <w:color w:val="000000" w:themeColor="text1"/>
          <w:sz w:val="20"/>
          <w:szCs w:val="20"/>
        </w:rPr>
        <w:t xml:space="preserve">3. </w:t>
      </w:r>
      <w:r w:rsidR="00031F13" w:rsidRPr="005803E6">
        <w:rPr>
          <w:rFonts w:ascii="Arial" w:hAnsi="Arial" w:cs="Arial"/>
          <w:color w:val="000000" w:themeColor="text1"/>
          <w:sz w:val="20"/>
          <w:szCs w:val="20"/>
        </w:rPr>
        <w:t xml:space="preserve">Mit dem Beschluss zur Entsendung zu einer Schulungs- und Bildungsveranstaltung i.S.v. § 37 Abs.6 und Abs.7 BetrVG, für welche der Arbeitgeber die Kosten einschließlich der Reise, der Unterbringung und der Verpflegung übernimmt, konkretisiert der Betriebsrat die dem entsandten Mitglied obliegende Betriebsratstätigkeit für den fraglichen Zeitraum. Die Teilnahme an der Veranstaltung hat für das entsandte Betriebsratsmitglied damit grundsätzlich Vorrang vor anderen Betriebsratsaufgaben. Für ein Verlassen der Veranstaltung und eine Verrichtung anderer Betriebsratsarbeit außerhalb des Betriebes und außerhalb des Veranstaltungsortes bedarf es gewichtiger Gründe. </w:t>
      </w:r>
    </w:p>
    <w:p w14:paraId="23F13F6A" w14:textId="77777777" w:rsidR="005B0A0D" w:rsidRDefault="005B0A0D" w:rsidP="00D574B8">
      <w:pPr>
        <w:jc w:val="both"/>
        <w:rPr>
          <w:rFonts w:ascii="Arial" w:hAnsi="Arial" w:cs="Arial"/>
          <w:color w:val="000000" w:themeColor="text1"/>
          <w:sz w:val="20"/>
          <w:szCs w:val="20"/>
        </w:rPr>
      </w:pPr>
    </w:p>
    <w:p w14:paraId="791A9A66" w14:textId="77777777" w:rsidR="00031F13" w:rsidRPr="005803E6" w:rsidRDefault="005B0A0D" w:rsidP="00D574B8">
      <w:pPr>
        <w:jc w:val="both"/>
        <w:rPr>
          <w:rFonts w:ascii="Arial" w:hAnsi="Arial" w:cs="Arial"/>
          <w:color w:val="000000" w:themeColor="text1"/>
        </w:rPr>
      </w:pPr>
      <w:r>
        <w:rPr>
          <w:rFonts w:ascii="Arial" w:hAnsi="Arial" w:cs="Arial"/>
          <w:color w:val="000000" w:themeColor="text1"/>
          <w:sz w:val="20"/>
          <w:szCs w:val="20"/>
        </w:rPr>
        <w:t xml:space="preserve">4. </w:t>
      </w:r>
      <w:r w:rsidR="00031F13" w:rsidRPr="005803E6">
        <w:rPr>
          <w:rFonts w:ascii="Arial" w:hAnsi="Arial" w:cs="Arial"/>
          <w:color w:val="000000" w:themeColor="text1"/>
          <w:sz w:val="20"/>
          <w:szCs w:val="20"/>
        </w:rPr>
        <w:t>Gibt das auf eine Schulungs- und Bildungsveranstaltung i.S.v. § 37 Abs.6 und Abs.</w:t>
      </w:r>
      <w:r w:rsidRPr="005803E6">
        <w:rPr>
          <w:rFonts w:ascii="Arial" w:hAnsi="Arial" w:cs="Arial"/>
          <w:color w:val="000000" w:themeColor="text1"/>
          <w:sz w:val="20"/>
          <w:szCs w:val="20"/>
        </w:rPr>
        <w:t xml:space="preserve"> </w:t>
      </w:r>
      <w:r w:rsidR="00031F13" w:rsidRPr="005803E6">
        <w:rPr>
          <w:rFonts w:ascii="Arial" w:hAnsi="Arial" w:cs="Arial"/>
          <w:color w:val="000000" w:themeColor="text1"/>
          <w:sz w:val="20"/>
          <w:szCs w:val="20"/>
        </w:rPr>
        <w:t xml:space="preserve">7 BetrVG entsandte Betriebsratsmitglied nachträglich im Rahmen betrieblicher Arbeitszeiterfassung bewusst Zeiten als Arbeitszeit an, von denen es weiß, dass es weder an der Schulungsveranstaltung teilgenommen hat, noch andere erforderliche Betriebsratstätigkeiten verrichtet hat, um auf diese Weise eine Amtspflichtverletzung vor dem Arbeitgeber zu verheimlichen und eine ihm nicht zustehende Vergütung bzw. Zeitgutschrift zu erhalten, kann die vom Betriebsrat verweigerte Zustimmung zu einer beabsichtigten außerordentlichen Kündigung durch die Arbeitgeberin nach § 103 BetrVG zu ersetzen sein. </w:t>
      </w:r>
    </w:p>
    <w:p w14:paraId="0CA2338B" w14:textId="77777777" w:rsidR="005B0A0D" w:rsidRDefault="005B0A0D" w:rsidP="00D574B8">
      <w:pPr>
        <w:jc w:val="both"/>
        <w:rPr>
          <w:rFonts w:ascii="Arial" w:hAnsi="Arial" w:cs="Arial"/>
          <w:b/>
          <w:bCs/>
          <w:color w:val="000000" w:themeColor="text1"/>
          <w:sz w:val="20"/>
          <w:szCs w:val="20"/>
        </w:rPr>
      </w:pPr>
    </w:p>
    <w:p w14:paraId="45A011F8"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Siehe:</w:t>
      </w:r>
    </w:p>
    <w:p w14:paraId="28DE32F5" w14:textId="77777777" w:rsidR="00031F13" w:rsidRPr="005803E6" w:rsidRDefault="00370FDF" w:rsidP="00D574B8">
      <w:pPr>
        <w:jc w:val="both"/>
        <w:rPr>
          <w:rFonts w:ascii="Arial" w:hAnsi="Arial" w:cs="Arial"/>
          <w:color w:val="000000" w:themeColor="text1"/>
        </w:rPr>
      </w:pPr>
      <w:hyperlink r:id="rId17" w:tgtFrame="_blank" w:history="1">
        <w:r w:rsidR="00031F13" w:rsidRPr="005803E6">
          <w:rPr>
            <w:rStyle w:val="Hyperlink"/>
            <w:rFonts w:ascii="Arial" w:hAnsi="Arial" w:cs="Arial"/>
            <w:color w:val="000000" w:themeColor="text1"/>
            <w:sz w:val="20"/>
            <w:szCs w:val="20"/>
          </w:rPr>
          <w:t>https://voris.wolterskluwer-online.de/browse/document/da5d1526-7aa4-4825-a52e-572e5d8b37bd</w:t>
        </w:r>
      </w:hyperlink>
    </w:p>
    <w:p w14:paraId="6F55AF00" w14:textId="77777777" w:rsidR="005B0A0D" w:rsidRPr="005803E6" w:rsidRDefault="005B0A0D" w:rsidP="00D574B8">
      <w:pPr>
        <w:jc w:val="both"/>
        <w:rPr>
          <w:rFonts w:ascii="Arial" w:hAnsi="Arial" w:cs="Arial"/>
          <w:color w:val="000000" w:themeColor="text1"/>
        </w:rPr>
      </w:pPr>
    </w:p>
    <w:p w14:paraId="45279693" w14:textId="77777777" w:rsidR="00031F13" w:rsidRPr="005B0A0D" w:rsidRDefault="00031F13" w:rsidP="005B0A0D">
      <w:pPr>
        <w:pStyle w:val="Listenabsatz"/>
        <w:keepNext/>
        <w:ind w:left="1080" w:hanging="720"/>
        <w:jc w:val="center"/>
        <w:rPr>
          <w:rFonts w:ascii="Arial" w:hAnsi="Arial" w:cs="Arial"/>
          <w:b/>
          <w:color w:val="000000" w:themeColor="text1"/>
        </w:rPr>
      </w:pPr>
      <w:r w:rsidRPr="005B0A0D">
        <w:rPr>
          <w:rFonts w:ascii="Arial" w:hAnsi="Arial" w:cs="Arial"/>
          <w:b/>
          <w:color w:val="000000" w:themeColor="text1"/>
        </w:rPr>
        <w:t>XI.</w:t>
      </w:r>
    </w:p>
    <w:p w14:paraId="1AC85DBF" w14:textId="77777777" w:rsidR="005B0A0D" w:rsidRDefault="00031F13" w:rsidP="005B0A0D">
      <w:pPr>
        <w:jc w:val="center"/>
        <w:rPr>
          <w:rFonts w:ascii="Arial" w:hAnsi="Arial" w:cs="Arial"/>
          <w:b/>
          <w:bCs/>
          <w:color w:val="000000" w:themeColor="text1"/>
        </w:rPr>
      </w:pPr>
      <w:r w:rsidRPr="005803E6">
        <w:rPr>
          <w:rFonts w:ascii="Arial" w:hAnsi="Arial" w:cs="Arial"/>
          <w:b/>
          <w:bCs/>
          <w:color w:val="000000" w:themeColor="text1"/>
        </w:rPr>
        <w:t>Landesarbeitsgericht Niedersachsen</w:t>
      </w:r>
    </w:p>
    <w:p w14:paraId="13C121C9" w14:textId="77777777" w:rsidR="00031F13" w:rsidRPr="005B0A0D" w:rsidRDefault="00031F13" w:rsidP="005B0A0D">
      <w:pPr>
        <w:jc w:val="center"/>
        <w:rPr>
          <w:rFonts w:ascii="Arial" w:hAnsi="Arial" w:cs="Arial"/>
          <w:color w:val="000000" w:themeColor="text1"/>
        </w:rPr>
      </w:pPr>
      <w:r w:rsidRPr="005B0A0D">
        <w:rPr>
          <w:rFonts w:ascii="Arial" w:hAnsi="Arial" w:cs="Arial"/>
          <w:bCs/>
          <w:color w:val="000000" w:themeColor="text1"/>
          <w:sz w:val="20"/>
          <w:szCs w:val="20"/>
        </w:rPr>
        <w:t>Beschl. v. 01.03.2024, Az.: 6 Ta 2/24</w:t>
      </w:r>
    </w:p>
    <w:p w14:paraId="7339D4BD" w14:textId="77777777" w:rsidR="00031F13" w:rsidRPr="005803E6" w:rsidRDefault="00031F13" w:rsidP="005B0A0D">
      <w:pPr>
        <w:rPr>
          <w:rFonts w:ascii="Arial" w:hAnsi="Arial" w:cs="Arial"/>
          <w:color w:val="000000" w:themeColor="text1"/>
        </w:rPr>
      </w:pPr>
    </w:p>
    <w:p w14:paraId="0CA343C2"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Schlagworte/Normen:</w:t>
      </w:r>
    </w:p>
    <w:p w14:paraId="6E6B2EEF"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rPr>
        <w:t>Verpflichtung des Arbeitgebers zur Zahlung eines Arbeitgeberbeitrages in die gesetzliche Kranken- und Pflegeversicherung</w:t>
      </w:r>
    </w:p>
    <w:p w14:paraId="20F46F47" w14:textId="77777777" w:rsidR="005B0A0D" w:rsidRDefault="005B0A0D" w:rsidP="00D574B8">
      <w:pPr>
        <w:jc w:val="both"/>
        <w:rPr>
          <w:rFonts w:ascii="Arial" w:hAnsi="Arial" w:cs="Arial"/>
          <w:b/>
          <w:bCs/>
          <w:color w:val="000000" w:themeColor="text1"/>
          <w:sz w:val="20"/>
          <w:szCs w:val="20"/>
          <w:u w:val="single"/>
        </w:rPr>
      </w:pPr>
    </w:p>
    <w:p w14:paraId="5C5DB25C"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Leitsatz:</w:t>
      </w:r>
    </w:p>
    <w:p w14:paraId="11905CC6" w14:textId="77777777" w:rsidR="00031F13" w:rsidRPr="005803E6" w:rsidRDefault="005B0A0D" w:rsidP="00D574B8">
      <w:pPr>
        <w:jc w:val="both"/>
        <w:rPr>
          <w:rFonts w:ascii="Arial" w:hAnsi="Arial" w:cs="Arial"/>
          <w:color w:val="000000" w:themeColor="text1"/>
        </w:rPr>
      </w:pPr>
      <w:r>
        <w:rPr>
          <w:rFonts w:ascii="Arial" w:hAnsi="Arial" w:cs="Arial"/>
          <w:color w:val="000000" w:themeColor="text1"/>
          <w:sz w:val="20"/>
          <w:szCs w:val="20"/>
        </w:rPr>
        <w:t>1.</w:t>
      </w:r>
      <w:r w:rsidR="00514095">
        <w:rPr>
          <w:rFonts w:ascii="Arial" w:hAnsi="Arial" w:cs="Arial"/>
          <w:color w:val="000000" w:themeColor="text1"/>
          <w:sz w:val="20"/>
          <w:szCs w:val="20"/>
        </w:rPr>
        <w:t xml:space="preserve"> </w:t>
      </w:r>
      <w:r w:rsidR="00031F13" w:rsidRPr="005803E6">
        <w:rPr>
          <w:rFonts w:ascii="Arial" w:hAnsi="Arial" w:cs="Arial"/>
          <w:color w:val="000000" w:themeColor="text1"/>
          <w:sz w:val="20"/>
          <w:szCs w:val="20"/>
        </w:rPr>
        <w:t>Entscheidet das Arbeitsgericht entgegen § 48 Abs.</w:t>
      </w:r>
      <w:r w:rsidRPr="005803E6">
        <w:rPr>
          <w:rFonts w:ascii="Arial" w:hAnsi="Arial" w:cs="Arial"/>
          <w:color w:val="000000" w:themeColor="text1"/>
          <w:sz w:val="20"/>
          <w:szCs w:val="20"/>
        </w:rPr>
        <w:t xml:space="preserve"> </w:t>
      </w:r>
      <w:r w:rsidR="00031F13" w:rsidRPr="005803E6">
        <w:rPr>
          <w:rFonts w:ascii="Arial" w:hAnsi="Arial" w:cs="Arial"/>
          <w:color w:val="000000" w:themeColor="text1"/>
          <w:sz w:val="20"/>
          <w:szCs w:val="20"/>
        </w:rPr>
        <w:t>1 ArbGG, § 17a Abs.</w:t>
      </w:r>
      <w:r w:rsidRPr="005803E6">
        <w:rPr>
          <w:rFonts w:ascii="Arial" w:hAnsi="Arial" w:cs="Arial"/>
          <w:color w:val="000000" w:themeColor="text1"/>
          <w:sz w:val="20"/>
          <w:szCs w:val="20"/>
        </w:rPr>
        <w:t xml:space="preserve"> </w:t>
      </w:r>
      <w:r w:rsidR="00031F13" w:rsidRPr="005803E6">
        <w:rPr>
          <w:rFonts w:ascii="Arial" w:hAnsi="Arial" w:cs="Arial"/>
          <w:color w:val="000000" w:themeColor="text1"/>
          <w:sz w:val="20"/>
          <w:szCs w:val="20"/>
        </w:rPr>
        <w:t>3 Satz</w:t>
      </w:r>
      <w:r w:rsidR="009C7E84">
        <w:rPr>
          <w:rFonts w:ascii="Arial" w:hAnsi="Arial" w:cs="Arial"/>
          <w:color w:val="000000" w:themeColor="text1"/>
          <w:sz w:val="20"/>
          <w:szCs w:val="20"/>
        </w:rPr>
        <w:t xml:space="preserve"> </w:t>
      </w:r>
      <w:r w:rsidR="00031F13" w:rsidRPr="005803E6">
        <w:rPr>
          <w:rFonts w:ascii="Arial" w:hAnsi="Arial" w:cs="Arial"/>
          <w:color w:val="000000" w:themeColor="text1"/>
          <w:sz w:val="20"/>
          <w:szCs w:val="20"/>
        </w:rPr>
        <w:t>2</w:t>
      </w:r>
      <w:r w:rsidR="009C7E84">
        <w:rPr>
          <w:rFonts w:ascii="Arial" w:hAnsi="Arial" w:cs="Arial"/>
          <w:color w:val="000000" w:themeColor="text1"/>
          <w:sz w:val="20"/>
          <w:szCs w:val="20"/>
        </w:rPr>
        <w:t xml:space="preserve"> </w:t>
      </w:r>
      <w:r w:rsidR="00031F13" w:rsidRPr="005803E6">
        <w:rPr>
          <w:rFonts w:ascii="Arial" w:hAnsi="Arial" w:cs="Arial"/>
          <w:color w:val="000000" w:themeColor="text1"/>
          <w:sz w:val="20"/>
          <w:szCs w:val="20"/>
        </w:rPr>
        <w:t xml:space="preserve">GVG trotz Rüge einer Partei über die Zulässigkeit des Rechtsweges nicht vorab durch Beschluss, sondern in den Gründen des klageabweisenden Urteils, so kann die klagende Partei nach dem Grundsatz der </w:t>
      </w:r>
      <w:r w:rsidR="00031F13" w:rsidRPr="005803E6">
        <w:rPr>
          <w:rFonts w:ascii="Arial" w:hAnsi="Arial" w:cs="Arial"/>
          <w:color w:val="000000" w:themeColor="text1"/>
          <w:sz w:val="20"/>
          <w:szCs w:val="20"/>
        </w:rPr>
        <w:lastRenderedPageBreak/>
        <w:t>Meistbegünstigung dagegen sofortige Beschwerde beim Landesarbeitsgericht einlegen. Dann entfällt die Prüfungssperre des § 65 ArbGG und das Landesarbeitsgericht entscheidet durch Beschluss über die Zulässigkeit des Rechtsweges durch die Vorsitzende allein, § 78 Satz</w:t>
      </w:r>
      <w:r w:rsidR="009C7E84">
        <w:rPr>
          <w:rFonts w:ascii="Arial" w:hAnsi="Arial" w:cs="Arial"/>
          <w:color w:val="000000" w:themeColor="text1"/>
          <w:sz w:val="20"/>
          <w:szCs w:val="20"/>
        </w:rPr>
        <w:t xml:space="preserve"> </w:t>
      </w:r>
      <w:r w:rsidR="00031F13" w:rsidRPr="005803E6">
        <w:rPr>
          <w:rFonts w:ascii="Arial" w:hAnsi="Arial" w:cs="Arial"/>
          <w:color w:val="000000" w:themeColor="text1"/>
          <w:sz w:val="20"/>
          <w:szCs w:val="20"/>
        </w:rPr>
        <w:t xml:space="preserve">3 ArbGG. </w:t>
      </w:r>
    </w:p>
    <w:p w14:paraId="6A43DA3D" w14:textId="77777777" w:rsidR="009C7E84" w:rsidRDefault="009C7E84" w:rsidP="00D574B8">
      <w:pPr>
        <w:jc w:val="both"/>
        <w:rPr>
          <w:rFonts w:ascii="Arial" w:hAnsi="Arial" w:cs="Arial"/>
          <w:color w:val="000000" w:themeColor="text1"/>
          <w:sz w:val="20"/>
          <w:szCs w:val="20"/>
        </w:rPr>
      </w:pPr>
    </w:p>
    <w:p w14:paraId="48184CD9" w14:textId="77777777" w:rsidR="00031F13" w:rsidRPr="005803E6" w:rsidRDefault="009C7E84" w:rsidP="00D574B8">
      <w:pPr>
        <w:jc w:val="both"/>
        <w:rPr>
          <w:rFonts w:ascii="Arial" w:hAnsi="Arial" w:cs="Arial"/>
          <w:color w:val="000000" w:themeColor="text1"/>
        </w:rPr>
      </w:pPr>
      <w:r>
        <w:rPr>
          <w:rFonts w:ascii="Arial" w:hAnsi="Arial" w:cs="Arial"/>
          <w:color w:val="000000" w:themeColor="text1"/>
          <w:sz w:val="20"/>
          <w:szCs w:val="20"/>
        </w:rPr>
        <w:t>2.</w:t>
      </w:r>
      <w:r w:rsidR="00514095">
        <w:rPr>
          <w:rFonts w:ascii="Arial" w:hAnsi="Arial" w:cs="Arial"/>
          <w:color w:val="000000" w:themeColor="text1"/>
          <w:sz w:val="20"/>
          <w:szCs w:val="20"/>
        </w:rPr>
        <w:t xml:space="preserve"> </w:t>
      </w:r>
      <w:r w:rsidR="00031F13" w:rsidRPr="005803E6">
        <w:rPr>
          <w:rFonts w:ascii="Arial" w:hAnsi="Arial" w:cs="Arial"/>
          <w:color w:val="000000" w:themeColor="text1"/>
          <w:sz w:val="20"/>
          <w:szCs w:val="20"/>
        </w:rPr>
        <w:t>Die Rechtswegrüge muss nicht ausdrücklich, sondern kann auch konkludent erhoben werden, z.B.</w:t>
      </w:r>
      <w:r>
        <w:rPr>
          <w:rFonts w:ascii="Arial" w:hAnsi="Arial" w:cs="Arial"/>
          <w:color w:val="000000" w:themeColor="text1"/>
          <w:sz w:val="20"/>
          <w:szCs w:val="20"/>
        </w:rPr>
        <w:t xml:space="preserve"> </w:t>
      </w:r>
      <w:r w:rsidR="00031F13" w:rsidRPr="005803E6">
        <w:rPr>
          <w:rFonts w:ascii="Arial" w:hAnsi="Arial" w:cs="Arial"/>
          <w:color w:val="000000" w:themeColor="text1"/>
          <w:sz w:val="20"/>
          <w:szCs w:val="20"/>
        </w:rPr>
        <w:t>indem hilfsweise die Verweisung an das Gericht eines anderen Rechtsweges beantragt wird.</w:t>
      </w:r>
    </w:p>
    <w:p w14:paraId="6748EFE1" w14:textId="77777777" w:rsidR="007F576A" w:rsidRDefault="007F576A" w:rsidP="00D574B8">
      <w:pPr>
        <w:jc w:val="both"/>
        <w:rPr>
          <w:rFonts w:ascii="Arial" w:hAnsi="Arial" w:cs="Arial"/>
          <w:color w:val="000000" w:themeColor="text1"/>
          <w:sz w:val="20"/>
          <w:szCs w:val="20"/>
        </w:rPr>
      </w:pPr>
    </w:p>
    <w:p w14:paraId="74277CC7" w14:textId="77777777" w:rsidR="00031F13" w:rsidRDefault="00514095" w:rsidP="00D574B8">
      <w:pPr>
        <w:jc w:val="both"/>
        <w:rPr>
          <w:rFonts w:ascii="Arial" w:hAnsi="Arial" w:cs="Arial"/>
          <w:color w:val="000000" w:themeColor="text1"/>
          <w:sz w:val="20"/>
          <w:szCs w:val="20"/>
        </w:rPr>
      </w:pPr>
      <w:r>
        <w:rPr>
          <w:rFonts w:ascii="Arial" w:hAnsi="Arial" w:cs="Arial"/>
          <w:color w:val="000000" w:themeColor="text1"/>
          <w:sz w:val="20"/>
          <w:szCs w:val="20"/>
        </w:rPr>
        <w:t xml:space="preserve">3. </w:t>
      </w:r>
      <w:r w:rsidR="00031F13" w:rsidRPr="005803E6">
        <w:rPr>
          <w:rFonts w:ascii="Arial" w:hAnsi="Arial" w:cs="Arial"/>
          <w:color w:val="000000" w:themeColor="text1"/>
          <w:sz w:val="20"/>
          <w:szCs w:val="20"/>
        </w:rPr>
        <w:t>Ob eine Streitigkeit bürgerlich-rechtlicher oder öffentlich rechtlicher Natur ist, entscheidet sich nicht danach, ob sich die Partei auf zivilrechtliche oder öffentliche-rechtliche Anspruchsgrundlagen beruft, sondern danach, ob der zur Klagebegründung vorgetragenen Sachverhalt für die aus ihm hergeleitete Rechtsfolge von Rechtssätzen des bürgerlichen oder des öffentlichen Rechts geprägt wird (BAG, 01.03.2022 - 7 AZB 25/21 Rn.13).</w:t>
      </w:r>
    </w:p>
    <w:p w14:paraId="29EAC9AB" w14:textId="77777777" w:rsidR="00514095" w:rsidRPr="005803E6" w:rsidRDefault="00514095" w:rsidP="00D574B8">
      <w:pPr>
        <w:jc w:val="both"/>
        <w:rPr>
          <w:rFonts w:ascii="Arial" w:hAnsi="Arial" w:cs="Arial"/>
          <w:color w:val="000000" w:themeColor="text1"/>
        </w:rPr>
      </w:pPr>
    </w:p>
    <w:p w14:paraId="2F4763D6" w14:textId="77777777" w:rsidR="00031F13" w:rsidRPr="005803E6" w:rsidRDefault="00514095" w:rsidP="00D574B8">
      <w:pPr>
        <w:jc w:val="both"/>
        <w:rPr>
          <w:rFonts w:ascii="Arial" w:hAnsi="Arial" w:cs="Arial"/>
          <w:color w:val="000000" w:themeColor="text1"/>
        </w:rPr>
      </w:pPr>
      <w:r>
        <w:rPr>
          <w:rFonts w:ascii="Arial" w:hAnsi="Arial" w:cs="Arial"/>
          <w:color w:val="000000" w:themeColor="text1"/>
          <w:sz w:val="20"/>
          <w:szCs w:val="20"/>
        </w:rPr>
        <w:t xml:space="preserve">4. </w:t>
      </w:r>
      <w:r w:rsidR="00031F13" w:rsidRPr="005803E6">
        <w:rPr>
          <w:rFonts w:ascii="Arial" w:hAnsi="Arial" w:cs="Arial"/>
          <w:color w:val="000000" w:themeColor="text1"/>
          <w:sz w:val="20"/>
          <w:szCs w:val="20"/>
        </w:rPr>
        <w:t>Der Anspruch eines Arbeitnehmers auf einen Arbeitgeberzuschuss nach § 257 SGB</w:t>
      </w:r>
      <w:r>
        <w:rPr>
          <w:rFonts w:ascii="Arial" w:hAnsi="Arial" w:cs="Arial"/>
          <w:color w:val="000000" w:themeColor="text1"/>
          <w:sz w:val="20"/>
          <w:szCs w:val="20"/>
        </w:rPr>
        <w:t xml:space="preserve"> </w:t>
      </w:r>
      <w:r w:rsidR="00031F13" w:rsidRPr="005803E6">
        <w:rPr>
          <w:rFonts w:ascii="Arial" w:hAnsi="Arial" w:cs="Arial"/>
          <w:color w:val="000000" w:themeColor="text1"/>
          <w:sz w:val="20"/>
          <w:szCs w:val="20"/>
        </w:rPr>
        <w:t xml:space="preserve">V hat seine Grundlage im Bereich der Sozialversicherung und damit im öffentlichen Recht. </w:t>
      </w:r>
    </w:p>
    <w:p w14:paraId="60CDE3DA" w14:textId="77777777" w:rsidR="00514095" w:rsidRPr="007F576A" w:rsidRDefault="00514095" w:rsidP="00D574B8">
      <w:pPr>
        <w:jc w:val="both"/>
        <w:rPr>
          <w:rFonts w:ascii="Arial" w:hAnsi="Arial" w:cs="Arial"/>
          <w:bCs/>
          <w:color w:val="000000" w:themeColor="text1"/>
          <w:sz w:val="20"/>
          <w:szCs w:val="20"/>
          <w:u w:val="single"/>
        </w:rPr>
      </w:pPr>
    </w:p>
    <w:p w14:paraId="55AB1D9A"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Siehe:</w:t>
      </w:r>
    </w:p>
    <w:p w14:paraId="209B7D01" w14:textId="77777777" w:rsidR="00031F13" w:rsidRPr="005803E6" w:rsidRDefault="00370FDF" w:rsidP="00D574B8">
      <w:pPr>
        <w:jc w:val="both"/>
        <w:rPr>
          <w:rFonts w:ascii="Arial" w:hAnsi="Arial" w:cs="Arial"/>
          <w:color w:val="000000" w:themeColor="text1"/>
        </w:rPr>
      </w:pPr>
      <w:hyperlink r:id="rId18" w:tgtFrame="_blank" w:history="1">
        <w:r w:rsidR="00031F13" w:rsidRPr="005803E6">
          <w:rPr>
            <w:rStyle w:val="Hyperlink"/>
            <w:rFonts w:ascii="Arial" w:hAnsi="Arial" w:cs="Arial"/>
            <w:color w:val="000000" w:themeColor="text1"/>
            <w:sz w:val="20"/>
            <w:szCs w:val="20"/>
          </w:rPr>
          <w:t>https://voris.wolterskluwer-online.de/browse/document/f17fad9c-f831-487e-ba93-b00326f8719e</w:t>
        </w:r>
      </w:hyperlink>
    </w:p>
    <w:p w14:paraId="081763F6" w14:textId="77777777" w:rsidR="00514095" w:rsidRPr="005803E6" w:rsidRDefault="00514095" w:rsidP="00D574B8">
      <w:pPr>
        <w:jc w:val="both"/>
        <w:rPr>
          <w:rFonts w:ascii="Arial" w:hAnsi="Arial" w:cs="Arial"/>
          <w:color w:val="000000" w:themeColor="text1"/>
        </w:rPr>
      </w:pPr>
    </w:p>
    <w:p w14:paraId="04628A9F" w14:textId="77777777" w:rsidR="00031F13" w:rsidRPr="005803E6" w:rsidRDefault="00031F13" w:rsidP="00514095">
      <w:pPr>
        <w:ind w:left="360"/>
        <w:jc w:val="center"/>
        <w:rPr>
          <w:rFonts w:ascii="Arial" w:hAnsi="Arial" w:cs="Arial"/>
          <w:color w:val="000000" w:themeColor="text1"/>
        </w:rPr>
      </w:pPr>
      <w:r w:rsidRPr="005803E6">
        <w:rPr>
          <w:rFonts w:ascii="Arial" w:hAnsi="Arial" w:cs="Arial"/>
          <w:b/>
          <w:bCs/>
          <w:color w:val="000000" w:themeColor="text1"/>
          <w:u w:val="single"/>
        </w:rPr>
        <w:t>Neu eingestellte Entscheidungen des Landesarbeitsgerichts Schleswig-Holstein:</w:t>
      </w:r>
    </w:p>
    <w:p w14:paraId="536C965B" w14:textId="77777777" w:rsidR="00514095" w:rsidRDefault="00514095" w:rsidP="00514095">
      <w:pPr>
        <w:rPr>
          <w:rFonts w:ascii="Arial" w:hAnsi="Arial" w:cs="Arial"/>
          <w:color w:val="000000" w:themeColor="text1"/>
        </w:rPr>
      </w:pPr>
    </w:p>
    <w:p w14:paraId="07D0FB6D" w14:textId="77777777" w:rsidR="00031F13" w:rsidRPr="00514095" w:rsidRDefault="00031F13" w:rsidP="00514095">
      <w:pPr>
        <w:rPr>
          <w:rFonts w:ascii="Arial" w:hAnsi="Arial" w:cs="Arial"/>
          <w:color w:val="000000" w:themeColor="text1"/>
        </w:rPr>
      </w:pPr>
      <w:r w:rsidRPr="00514095">
        <w:rPr>
          <w:rFonts w:ascii="Arial" w:hAnsi="Arial" w:cs="Arial"/>
          <w:color w:val="000000" w:themeColor="text1"/>
        </w:rPr>
        <w:t>Keine</w:t>
      </w:r>
    </w:p>
    <w:p w14:paraId="774A3A51" w14:textId="77777777" w:rsidR="00514095" w:rsidRPr="007F576A" w:rsidRDefault="00514095" w:rsidP="00514095">
      <w:pPr>
        <w:jc w:val="both"/>
        <w:rPr>
          <w:rFonts w:ascii="Arial" w:hAnsi="Arial" w:cs="Arial"/>
          <w:bCs/>
          <w:color w:val="000000" w:themeColor="text1"/>
          <w:u w:val="single"/>
        </w:rPr>
      </w:pPr>
    </w:p>
    <w:p w14:paraId="75AC3EB1" w14:textId="77777777" w:rsidR="00031F13" w:rsidRPr="005803E6" w:rsidRDefault="00031F13" w:rsidP="00514095">
      <w:pPr>
        <w:jc w:val="both"/>
        <w:rPr>
          <w:rFonts w:ascii="Arial" w:hAnsi="Arial" w:cs="Arial"/>
          <w:color w:val="000000" w:themeColor="text1"/>
        </w:rPr>
      </w:pPr>
      <w:r w:rsidRPr="005803E6">
        <w:rPr>
          <w:rFonts w:ascii="Arial" w:hAnsi="Arial" w:cs="Arial"/>
          <w:b/>
          <w:bCs/>
          <w:color w:val="000000" w:themeColor="text1"/>
          <w:u w:val="single"/>
        </w:rPr>
        <w:t>Sonstiges:</w:t>
      </w:r>
    </w:p>
    <w:p w14:paraId="6BEE0382" w14:textId="77777777" w:rsidR="00514095" w:rsidRPr="005803E6" w:rsidRDefault="00514095" w:rsidP="00D574B8">
      <w:pPr>
        <w:jc w:val="both"/>
        <w:rPr>
          <w:rFonts w:ascii="Arial" w:hAnsi="Arial" w:cs="Arial"/>
          <w:color w:val="000000" w:themeColor="text1"/>
        </w:rPr>
      </w:pPr>
    </w:p>
    <w:p w14:paraId="25099222" w14:textId="77777777" w:rsidR="00031F13" w:rsidRPr="00514095" w:rsidRDefault="00031F13" w:rsidP="00514095">
      <w:pPr>
        <w:pStyle w:val="Listenabsatz"/>
        <w:keepNext/>
        <w:ind w:left="1080" w:hanging="720"/>
        <w:jc w:val="center"/>
        <w:rPr>
          <w:rFonts w:ascii="Arial" w:hAnsi="Arial" w:cs="Arial"/>
          <w:b/>
          <w:color w:val="000000" w:themeColor="text1"/>
        </w:rPr>
      </w:pPr>
      <w:r w:rsidRPr="00514095">
        <w:rPr>
          <w:rFonts w:ascii="Arial" w:hAnsi="Arial" w:cs="Arial"/>
          <w:b/>
          <w:color w:val="000000" w:themeColor="text1"/>
        </w:rPr>
        <w:t>I.</w:t>
      </w:r>
    </w:p>
    <w:p w14:paraId="7B37D839" w14:textId="77777777" w:rsidR="00514095" w:rsidRDefault="00031F13" w:rsidP="00514095">
      <w:pPr>
        <w:jc w:val="center"/>
        <w:rPr>
          <w:rFonts w:ascii="Arial" w:hAnsi="Arial" w:cs="Arial"/>
          <w:b/>
          <w:bCs/>
          <w:color w:val="000000" w:themeColor="text1"/>
        </w:rPr>
      </w:pPr>
      <w:r w:rsidRPr="005803E6">
        <w:rPr>
          <w:rFonts w:ascii="Arial" w:hAnsi="Arial" w:cs="Arial"/>
          <w:b/>
          <w:bCs/>
          <w:color w:val="000000" w:themeColor="text1"/>
        </w:rPr>
        <w:t>Bundesfinanzhof</w:t>
      </w:r>
    </w:p>
    <w:p w14:paraId="286EF38D" w14:textId="77777777" w:rsidR="00031F13" w:rsidRPr="00514095" w:rsidRDefault="00031F13" w:rsidP="00514095">
      <w:pPr>
        <w:jc w:val="center"/>
        <w:rPr>
          <w:rFonts w:ascii="Arial" w:hAnsi="Arial" w:cs="Arial"/>
          <w:color w:val="000000" w:themeColor="text1"/>
        </w:rPr>
      </w:pPr>
      <w:r w:rsidRPr="00514095">
        <w:rPr>
          <w:rFonts w:ascii="Arial" w:hAnsi="Arial" w:cs="Arial"/>
          <w:bCs/>
          <w:color w:val="000000" w:themeColor="text1"/>
          <w:sz w:val="20"/>
          <w:szCs w:val="20"/>
        </w:rPr>
        <w:t>Urteil vom 27. März 2024, VI R 5/22</w:t>
      </w:r>
    </w:p>
    <w:p w14:paraId="438230FA" w14:textId="77777777" w:rsidR="00031F13" w:rsidRPr="00514095" w:rsidRDefault="00031F13" w:rsidP="00514095">
      <w:pPr>
        <w:jc w:val="center"/>
        <w:rPr>
          <w:rFonts w:ascii="Arial" w:hAnsi="Arial" w:cs="Arial"/>
          <w:color w:val="000000" w:themeColor="text1"/>
        </w:rPr>
      </w:pPr>
    </w:p>
    <w:p w14:paraId="749DCEF8"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Schlagworte/Normen:</w:t>
      </w:r>
    </w:p>
    <w:p w14:paraId="6519EC5D"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rPr>
        <w:t>Lohnsteuerpauschalierung bei Betriebsveranstaltungen, die nicht allen Betriebsangehörigen offenstehen</w:t>
      </w:r>
    </w:p>
    <w:p w14:paraId="2E8D97C2" w14:textId="77777777" w:rsidR="007F576A" w:rsidRPr="005803E6" w:rsidRDefault="007F576A" w:rsidP="00D574B8">
      <w:pPr>
        <w:jc w:val="both"/>
        <w:rPr>
          <w:rFonts w:ascii="Arial" w:hAnsi="Arial" w:cs="Arial"/>
          <w:color w:val="000000" w:themeColor="text1"/>
        </w:rPr>
      </w:pPr>
    </w:p>
    <w:p w14:paraId="0903BD81"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Leitsätze:</w:t>
      </w:r>
    </w:p>
    <w:p w14:paraId="6F89B109" w14:textId="77777777" w:rsidR="00031F13" w:rsidRPr="005803E6" w:rsidRDefault="00031F13" w:rsidP="00D574B8">
      <w:pPr>
        <w:jc w:val="both"/>
        <w:rPr>
          <w:rFonts w:ascii="Arial" w:hAnsi="Arial" w:cs="Arial"/>
          <w:color w:val="000000" w:themeColor="text1"/>
        </w:rPr>
      </w:pPr>
      <w:r w:rsidRPr="005803E6">
        <w:rPr>
          <w:rFonts w:ascii="Arial" w:hAnsi="Arial" w:cs="Arial"/>
          <w:color w:val="000000" w:themeColor="text1"/>
          <w:sz w:val="20"/>
          <w:szCs w:val="20"/>
        </w:rPr>
        <w:t>1. Nach der ab dem Veranlagungszeitraum 2015 geltenden Legaldefinition in § 19 Abs. 1 Satz 1 Nr. 1a Satz 1 des Einkommensteuergesetzes (EStG) kann eine Betriebsveranstaltung auch dann vorliegen, wenn sie nicht allen Angehörigen eines Betriebs oder eines Betriebsteils offensteht.</w:t>
      </w:r>
    </w:p>
    <w:p w14:paraId="1059A8CC" w14:textId="77777777" w:rsidR="007F576A" w:rsidRPr="005803E6" w:rsidRDefault="007F576A" w:rsidP="00D574B8">
      <w:pPr>
        <w:jc w:val="both"/>
        <w:rPr>
          <w:rFonts w:ascii="Arial" w:hAnsi="Arial" w:cs="Arial"/>
          <w:color w:val="000000" w:themeColor="text1"/>
        </w:rPr>
      </w:pPr>
    </w:p>
    <w:p w14:paraId="5AAD5DC5" w14:textId="77777777" w:rsidR="00031F13" w:rsidRPr="005803E6" w:rsidRDefault="00031F13" w:rsidP="00D574B8">
      <w:pPr>
        <w:jc w:val="both"/>
        <w:rPr>
          <w:rFonts w:ascii="Arial" w:hAnsi="Arial" w:cs="Arial"/>
          <w:color w:val="000000" w:themeColor="text1"/>
        </w:rPr>
      </w:pPr>
      <w:r w:rsidRPr="005803E6">
        <w:rPr>
          <w:rFonts w:ascii="Arial" w:hAnsi="Arial" w:cs="Arial"/>
          <w:color w:val="000000" w:themeColor="text1"/>
          <w:sz w:val="20"/>
          <w:szCs w:val="20"/>
        </w:rPr>
        <w:t>2. Das Tatbestandsmerkmal Betriebsveranstaltung in § 40 Abs. 2 Satz 1 Nr. 2 EStG entspricht der Legaldefinition in § 19 Abs. 1 Satz 1 Nr. 1a Satz 1 EStG.</w:t>
      </w:r>
    </w:p>
    <w:p w14:paraId="47F3293B" w14:textId="77777777" w:rsidR="007F576A" w:rsidRPr="005803E6" w:rsidRDefault="007F576A" w:rsidP="00D574B8">
      <w:pPr>
        <w:jc w:val="both"/>
        <w:rPr>
          <w:rFonts w:ascii="Arial" w:hAnsi="Arial" w:cs="Arial"/>
          <w:color w:val="000000" w:themeColor="text1"/>
        </w:rPr>
      </w:pPr>
    </w:p>
    <w:p w14:paraId="56818E08" w14:textId="77777777" w:rsidR="00031F13" w:rsidRPr="005803E6" w:rsidRDefault="00031F13" w:rsidP="00D574B8">
      <w:pPr>
        <w:jc w:val="both"/>
        <w:rPr>
          <w:rFonts w:ascii="Arial" w:hAnsi="Arial" w:cs="Arial"/>
          <w:color w:val="000000" w:themeColor="text1"/>
        </w:rPr>
      </w:pPr>
      <w:r w:rsidRPr="005803E6">
        <w:rPr>
          <w:rFonts w:ascii="Arial" w:hAnsi="Arial" w:cs="Arial"/>
          <w:b/>
          <w:bCs/>
          <w:color w:val="000000" w:themeColor="text1"/>
          <w:sz w:val="20"/>
          <w:szCs w:val="20"/>
          <w:u w:val="single"/>
        </w:rPr>
        <w:t>Siehe:</w:t>
      </w:r>
    </w:p>
    <w:p w14:paraId="43329B54" w14:textId="77777777" w:rsidR="00031F13" w:rsidRPr="005803E6" w:rsidRDefault="00370FDF" w:rsidP="00D574B8">
      <w:pPr>
        <w:rPr>
          <w:rFonts w:ascii="Arial" w:hAnsi="Arial" w:cs="Arial"/>
          <w:color w:val="000000" w:themeColor="text1"/>
        </w:rPr>
      </w:pPr>
      <w:hyperlink r:id="rId19" w:tgtFrame="_blank" w:history="1">
        <w:r w:rsidR="00031F13" w:rsidRPr="005803E6">
          <w:rPr>
            <w:rStyle w:val="Hyperlink"/>
            <w:rFonts w:ascii="Arial" w:hAnsi="Arial" w:cs="Arial"/>
            <w:color w:val="000000" w:themeColor="text1"/>
            <w:sz w:val="20"/>
            <w:szCs w:val="20"/>
          </w:rPr>
          <w:t>https://www.bundesfinanzhof.de/de/entscheidung/entscheidungen-online/detail/STRE202410082/</w:t>
        </w:r>
      </w:hyperlink>
    </w:p>
    <w:p w14:paraId="077DB7DE" w14:textId="77777777" w:rsidR="00031F13" w:rsidRPr="005803E6" w:rsidRDefault="00031F13" w:rsidP="00D574B8">
      <w:pPr>
        <w:rPr>
          <w:rFonts w:ascii="Arial" w:eastAsia="Calibri" w:hAnsi="Arial" w:cs="Arial"/>
          <w:b/>
          <w:bCs/>
          <w:color w:val="000000" w:themeColor="text1"/>
          <w:sz w:val="20"/>
          <w:szCs w:val="20"/>
          <w:lang w:eastAsia="de-DE"/>
        </w:rPr>
      </w:pPr>
    </w:p>
    <w:p w14:paraId="7D0364A9" w14:textId="77777777" w:rsidR="00031F13" w:rsidRPr="005803E6" w:rsidRDefault="00031F13" w:rsidP="00D574B8">
      <w:pPr>
        <w:rPr>
          <w:rFonts w:ascii="Arial" w:eastAsia="Calibri" w:hAnsi="Arial" w:cs="Arial"/>
          <w:b/>
          <w:bCs/>
          <w:color w:val="000000" w:themeColor="text1"/>
          <w:sz w:val="20"/>
          <w:szCs w:val="20"/>
          <w:lang w:eastAsia="de-DE"/>
        </w:rPr>
      </w:pPr>
    </w:p>
    <w:p w14:paraId="06399D43" w14:textId="77777777" w:rsidR="007151A1" w:rsidRPr="005803E6" w:rsidRDefault="009A56DF" w:rsidP="00D574B8">
      <w:pPr>
        <w:jc w:val="center"/>
        <w:rPr>
          <w:rFonts w:ascii="Arial" w:eastAsia="Calibri" w:hAnsi="Arial" w:cs="Arial"/>
          <w:b/>
          <w:bCs/>
          <w:color w:val="000000" w:themeColor="text1"/>
          <w:lang w:eastAsia="de-DE"/>
        </w:rPr>
      </w:pPr>
      <w:r w:rsidRPr="005803E6">
        <w:rPr>
          <w:rFonts w:ascii="Arial" w:eastAsia="Calibri" w:hAnsi="Arial" w:cs="Arial"/>
          <w:b/>
          <w:bCs/>
          <w:color w:val="000000" w:themeColor="text1"/>
          <w:lang w:eastAsia="de-DE"/>
        </w:rPr>
        <w:t>I.</w:t>
      </w:r>
    </w:p>
    <w:p w14:paraId="6B52BC2C" w14:textId="77777777" w:rsidR="009A56DF" w:rsidRPr="005803E6" w:rsidRDefault="009A56DF" w:rsidP="00D574B8">
      <w:pPr>
        <w:jc w:val="both"/>
        <w:rPr>
          <w:rFonts w:ascii="Arial" w:hAnsi="Arial" w:cs="Arial"/>
          <w:color w:val="000000" w:themeColor="text1"/>
          <w:sz w:val="20"/>
          <w:szCs w:val="20"/>
        </w:rPr>
      </w:pPr>
    </w:p>
    <w:p w14:paraId="6009E3F6" w14:textId="77777777" w:rsidR="00306742" w:rsidRPr="005803E6" w:rsidRDefault="00306742" w:rsidP="00D574B8">
      <w:pPr>
        <w:jc w:val="both"/>
        <w:rPr>
          <w:rFonts w:ascii="Arial" w:hAnsi="Arial" w:cs="Arial"/>
          <w:color w:val="000000" w:themeColor="text1"/>
          <w:sz w:val="20"/>
          <w:szCs w:val="20"/>
        </w:rPr>
      </w:pPr>
    </w:p>
    <w:p w14:paraId="767B377F" w14:textId="77777777" w:rsidR="009A56DF" w:rsidRPr="005803E6" w:rsidRDefault="009A56DF" w:rsidP="00D574B8">
      <w:pPr>
        <w:rPr>
          <w:rFonts w:ascii="Arial" w:hAnsi="Arial" w:cs="Arial"/>
          <w:color w:val="000000" w:themeColor="text1"/>
          <w:sz w:val="20"/>
          <w:szCs w:val="20"/>
        </w:rPr>
      </w:pPr>
      <w:r w:rsidRPr="005803E6">
        <w:rPr>
          <w:rFonts w:ascii="Arial" w:hAnsi="Arial" w:cs="Arial"/>
          <w:color w:val="000000" w:themeColor="text1"/>
          <w:sz w:val="20"/>
          <w:szCs w:val="20"/>
        </w:rPr>
        <w:t>Mit besten Grüßen</w:t>
      </w:r>
    </w:p>
    <w:p w14:paraId="700CE8E3" w14:textId="77777777" w:rsidR="009A56DF" w:rsidRPr="005803E6" w:rsidRDefault="009A56DF" w:rsidP="00D574B8">
      <w:pPr>
        <w:rPr>
          <w:rFonts w:ascii="Arial" w:hAnsi="Arial" w:cs="Arial"/>
          <w:color w:val="000000" w:themeColor="text1"/>
          <w:sz w:val="20"/>
          <w:szCs w:val="20"/>
        </w:rPr>
      </w:pPr>
      <w:r w:rsidRPr="005803E6">
        <w:rPr>
          <w:rFonts w:ascii="Arial" w:hAnsi="Arial" w:cs="Arial"/>
          <w:color w:val="000000" w:themeColor="text1"/>
          <w:sz w:val="20"/>
          <w:szCs w:val="20"/>
        </w:rPr>
        <w:t>Ihr</w:t>
      </w:r>
    </w:p>
    <w:p w14:paraId="3A4F4014" w14:textId="77777777" w:rsidR="009A56DF" w:rsidRPr="005803E6" w:rsidRDefault="009A56DF" w:rsidP="00D574B8">
      <w:pPr>
        <w:rPr>
          <w:rFonts w:ascii="Arial" w:hAnsi="Arial" w:cs="Arial"/>
          <w:color w:val="000000" w:themeColor="text1"/>
          <w:sz w:val="20"/>
          <w:szCs w:val="20"/>
        </w:rPr>
      </w:pPr>
    </w:p>
    <w:p w14:paraId="0D5A2399" w14:textId="77777777" w:rsidR="009A56DF" w:rsidRPr="005803E6" w:rsidRDefault="009A56DF" w:rsidP="00D574B8">
      <w:pPr>
        <w:rPr>
          <w:rFonts w:ascii="Arial" w:hAnsi="Arial" w:cs="Arial"/>
          <w:color w:val="000000" w:themeColor="text1"/>
          <w:sz w:val="20"/>
          <w:szCs w:val="20"/>
        </w:rPr>
      </w:pPr>
      <w:r w:rsidRPr="005803E6">
        <w:rPr>
          <w:rFonts w:ascii="Arial" w:hAnsi="Arial" w:cs="Arial"/>
          <w:color w:val="000000" w:themeColor="text1"/>
          <w:sz w:val="20"/>
          <w:szCs w:val="20"/>
        </w:rPr>
        <w:t>Michael Henn</w:t>
      </w:r>
    </w:p>
    <w:p w14:paraId="56146060" w14:textId="77777777" w:rsidR="009A56DF" w:rsidRPr="005803E6" w:rsidRDefault="009A56DF" w:rsidP="00D574B8">
      <w:pPr>
        <w:rPr>
          <w:rFonts w:ascii="Arial" w:hAnsi="Arial" w:cs="Arial"/>
          <w:color w:val="000000" w:themeColor="text1"/>
          <w:sz w:val="20"/>
          <w:szCs w:val="20"/>
        </w:rPr>
      </w:pPr>
      <w:r w:rsidRPr="005803E6">
        <w:rPr>
          <w:rFonts w:ascii="Arial" w:hAnsi="Arial" w:cs="Arial"/>
          <w:color w:val="000000" w:themeColor="text1"/>
          <w:sz w:val="20"/>
          <w:szCs w:val="20"/>
        </w:rPr>
        <w:t>Rechtsanwalt</w:t>
      </w:r>
    </w:p>
    <w:p w14:paraId="66C21AC4" w14:textId="77777777" w:rsidR="009A56DF" w:rsidRPr="005803E6" w:rsidRDefault="009A56DF" w:rsidP="00D574B8">
      <w:pPr>
        <w:rPr>
          <w:rFonts w:ascii="Arial" w:hAnsi="Arial" w:cs="Arial"/>
          <w:color w:val="000000" w:themeColor="text1"/>
          <w:sz w:val="20"/>
          <w:szCs w:val="20"/>
        </w:rPr>
      </w:pPr>
      <w:r w:rsidRPr="005803E6">
        <w:rPr>
          <w:rFonts w:ascii="Arial" w:hAnsi="Arial" w:cs="Arial"/>
          <w:color w:val="000000" w:themeColor="text1"/>
          <w:sz w:val="20"/>
          <w:szCs w:val="20"/>
        </w:rPr>
        <w:t>Fachanwalt für Erbrecht</w:t>
      </w:r>
    </w:p>
    <w:p w14:paraId="3F89AD84" w14:textId="77777777" w:rsidR="009A56DF" w:rsidRPr="005803E6" w:rsidRDefault="009A56DF" w:rsidP="00D574B8">
      <w:pPr>
        <w:rPr>
          <w:rFonts w:ascii="Arial" w:hAnsi="Arial" w:cs="Arial"/>
          <w:color w:val="000000" w:themeColor="text1"/>
          <w:sz w:val="20"/>
          <w:szCs w:val="20"/>
        </w:rPr>
      </w:pPr>
      <w:r w:rsidRPr="005803E6">
        <w:rPr>
          <w:rFonts w:ascii="Arial" w:hAnsi="Arial" w:cs="Arial"/>
          <w:color w:val="000000" w:themeColor="text1"/>
          <w:sz w:val="20"/>
          <w:szCs w:val="20"/>
        </w:rPr>
        <w:t>Fachanwalt für Arbeitsrecht</w:t>
      </w:r>
    </w:p>
    <w:p w14:paraId="1FD27267" w14:textId="77777777" w:rsidR="009A56DF" w:rsidRPr="005803E6" w:rsidRDefault="009A56DF" w:rsidP="00D574B8">
      <w:pPr>
        <w:rPr>
          <w:rFonts w:ascii="Arial" w:hAnsi="Arial" w:cs="Arial"/>
          <w:color w:val="000000" w:themeColor="text1"/>
          <w:sz w:val="20"/>
          <w:szCs w:val="20"/>
        </w:rPr>
      </w:pPr>
      <w:r w:rsidRPr="005803E6">
        <w:rPr>
          <w:rFonts w:ascii="Arial" w:hAnsi="Arial" w:cs="Arial"/>
          <w:color w:val="000000" w:themeColor="text1"/>
          <w:sz w:val="20"/>
          <w:szCs w:val="20"/>
        </w:rPr>
        <w:t>VDAA – Präsident</w:t>
      </w:r>
    </w:p>
    <w:p w14:paraId="677B9DE6" w14:textId="77777777" w:rsidR="009A56DF" w:rsidRPr="005803E6" w:rsidRDefault="009A56DF" w:rsidP="00D574B8">
      <w:pPr>
        <w:rPr>
          <w:rFonts w:ascii="Arial" w:hAnsi="Arial" w:cs="Arial"/>
          <w:color w:val="000000" w:themeColor="text1"/>
          <w:sz w:val="20"/>
          <w:szCs w:val="20"/>
        </w:rPr>
      </w:pPr>
    </w:p>
    <w:p w14:paraId="0C658182" w14:textId="77777777" w:rsidR="009A56DF" w:rsidRPr="005803E6" w:rsidRDefault="009A56DF" w:rsidP="00D574B8">
      <w:pPr>
        <w:rPr>
          <w:rFonts w:ascii="Arial" w:eastAsia="Times New Roman" w:hAnsi="Arial" w:cs="Arial"/>
          <w:b/>
          <w:bCs/>
          <w:color w:val="000000" w:themeColor="text1"/>
          <w:sz w:val="20"/>
          <w:szCs w:val="20"/>
          <w:lang w:eastAsia="de-DE"/>
        </w:rPr>
      </w:pPr>
      <w:r w:rsidRPr="005803E6">
        <w:rPr>
          <w:rFonts w:ascii="Arial" w:eastAsia="Times New Roman" w:hAnsi="Arial" w:cs="Arial"/>
          <w:b/>
          <w:bCs/>
          <w:color w:val="000000" w:themeColor="text1"/>
          <w:lang w:eastAsia="de-DE"/>
        </w:rPr>
        <w:t>V</w:t>
      </w:r>
      <w:r w:rsidRPr="005803E6">
        <w:rPr>
          <w:rFonts w:ascii="Arial" w:eastAsia="Times New Roman" w:hAnsi="Arial" w:cs="Arial"/>
          <w:b/>
          <w:bCs/>
          <w:color w:val="000000" w:themeColor="text1"/>
          <w:sz w:val="20"/>
          <w:szCs w:val="20"/>
          <w:lang w:eastAsia="de-DE"/>
        </w:rPr>
        <w:t>DAA - Verband deutscher ArbeitsrechtsAnwälte e.V.</w:t>
      </w:r>
    </w:p>
    <w:p w14:paraId="2D2622DB" w14:textId="77777777" w:rsidR="006E20AE" w:rsidRPr="005803E6" w:rsidRDefault="009A56DF" w:rsidP="00D574B8">
      <w:pPr>
        <w:rPr>
          <w:rFonts w:ascii="Arial" w:eastAsia="Times New Roman" w:hAnsi="Arial" w:cs="Arial"/>
          <w:b/>
          <w:bCs/>
          <w:color w:val="000000" w:themeColor="text1"/>
          <w:sz w:val="20"/>
          <w:szCs w:val="20"/>
          <w:lang w:eastAsia="de-DE"/>
        </w:rPr>
      </w:pPr>
      <w:r w:rsidRPr="005803E6">
        <w:rPr>
          <w:rFonts w:ascii="Arial" w:eastAsia="Times New Roman" w:hAnsi="Arial" w:cs="Arial"/>
          <w:b/>
          <w:bCs/>
          <w:color w:val="000000" w:themeColor="text1"/>
          <w:sz w:val="20"/>
          <w:szCs w:val="20"/>
          <w:lang w:eastAsia="de-DE"/>
        </w:rPr>
        <w:lastRenderedPageBreak/>
        <w:t>Gerokstr. 8</w:t>
      </w:r>
      <w:r w:rsidR="006E20AE" w:rsidRPr="005803E6">
        <w:rPr>
          <w:rFonts w:ascii="Arial" w:eastAsia="Times New Roman" w:hAnsi="Arial" w:cs="Arial"/>
          <w:b/>
          <w:bCs/>
          <w:color w:val="000000" w:themeColor="text1"/>
          <w:sz w:val="20"/>
          <w:szCs w:val="20"/>
          <w:lang w:eastAsia="de-DE"/>
        </w:rPr>
        <w:tab/>
      </w:r>
      <w:r w:rsidR="006E20AE" w:rsidRPr="005803E6">
        <w:rPr>
          <w:rFonts w:ascii="Arial" w:eastAsia="Times New Roman" w:hAnsi="Arial" w:cs="Arial"/>
          <w:b/>
          <w:bCs/>
          <w:color w:val="000000" w:themeColor="text1"/>
          <w:sz w:val="20"/>
          <w:szCs w:val="20"/>
          <w:lang w:eastAsia="de-DE"/>
        </w:rPr>
        <w:tab/>
      </w:r>
      <w:r w:rsidR="006E20AE" w:rsidRPr="005803E6">
        <w:rPr>
          <w:rFonts w:ascii="Arial" w:eastAsia="Times New Roman" w:hAnsi="Arial" w:cs="Arial"/>
          <w:b/>
          <w:bCs/>
          <w:color w:val="000000" w:themeColor="text1"/>
          <w:sz w:val="20"/>
          <w:szCs w:val="20"/>
          <w:lang w:eastAsia="de-DE"/>
        </w:rPr>
        <w:tab/>
        <w:t>70188 Stuttgart</w:t>
      </w:r>
    </w:p>
    <w:p w14:paraId="2B14021A" w14:textId="77777777" w:rsidR="006E20AE" w:rsidRPr="005803E6" w:rsidRDefault="009A56DF" w:rsidP="00D574B8">
      <w:pPr>
        <w:rPr>
          <w:rFonts w:ascii="Arial" w:eastAsia="Times New Roman" w:hAnsi="Arial" w:cs="Arial"/>
          <w:color w:val="000000" w:themeColor="text1"/>
        </w:rPr>
      </w:pPr>
      <w:r w:rsidRPr="005803E6">
        <w:rPr>
          <w:rFonts w:ascii="Arial" w:eastAsia="Times New Roman" w:hAnsi="Arial" w:cs="Arial"/>
          <w:b/>
          <w:bCs/>
          <w:color w:val="000000" w:themeColor="text1"/>
          <w:sz w:val="20"/>
          <w:szCs w:val="20"/>
          <w:lang w:eastAsia="de-DE"/>
        </w:rPr>
        <w:t>Telefon: (0711) 3058 9320</w:t>
      </w:r>
      <w:r w:rsidR="006E20AE" w:rsidRPr="005803E6">
        <w:rPr>
          <w:rFonts w:ascii="Arial" w:eastAsia="Times New Roman" w:hAnsi="Arial" w:cs="Arial"/>
          <w:b/>
          <w:bCs/>
          <w:color w:val="000000" w:themeColor="text1"/>
          <w:sz w:val="20"/>
          <w:szCs w:val="20"/>
          <w:lang w:eastAsia="de-DE"/>
        </w:rPr>
        <w:tab/>
        <w:t>Telefax: (0711) 3058 9311</w:t>
      </w:r>
    </w:p>
    <w:p w14:paraId="39A1716B" w14:textId="77777777" w:rsidR="009A56DF" w:rsidRPr="005803E6" w:rsidRDefault="009A56DF" w:rsidP="00D574B8">
      <w:pPr>
        <w:rPr>
          <w:rFonts w:ascii="Arial" w:eastAsia="Times New Roman" w:hAnsi="Arial" w:cs="Arial"/>
          <w:color w:val="000000" w:themeColor="text1"/>
        </w:rPr>
      </w:pPr>
      <w:r w:rsidRPr="005803E6">
        <w:rPr>
          <w:rFonts w:ascii="Arial" w:eastAsia="Times New Roman" w:hAnsi="Arial" w:cs="Arial"/>
          <w:b/>
          <w:bCs/>
          <w:color w:val="000000" w:themeColor="text1"/>
          <w:sz w:val="20"/>
          <w:szCs w:val="20"/>
          <w:lang w:eastAsia="de-DE"/>
        </w:rPr>
        <w:t xml:space="preserve">Email: </w:t>
      </w:r>
      <w:hyperlink r:id="rId20" w:history="1">
        <w:r w:rsidRPr="005803E6">
          <w:rPr>
            <w:rFonts w:ascii="Arial" w:eastAsia="Times New Roman" w:hAnsi="Arial" w:cs="Arial"/>
            <w:b/>
            <w:bCs/>
            <w:color w:val="000000" w:themeColor="text1"/>
            <w:sz w:val="20"/>
            <w:szCs w:val="20"/>
            <w:u w:val="single"/>
            <w:lang w:eastAsia="de-DE"/>
          </w:rPr>
          <w:t>info@vdaa.de</w:t>
        </w:r>
      </w:hyperlink>
      <w:r w:rsidR="006E20AE" w:rsidRPr="005803E6">
        <w:rPr>
          <w:rFonts w:ascii="Arial" w:eastAsia="Times New Roman" w:hAnsi="Arial" w:cs="Arial"/>
          <w:b/>
          <w:bCs/>
          <w:color w:val="000000" w:themeColor="text1"/>
          <w:sz w:val="20"/>
          <w:szCs w:val="20"/>
          <w:u w:val="single"/>
          <w:lang w:eastAsia="de-DE"/>
        </w:rPr>
        <w:tab/>
      </w:r>
      <w:r w:rsidR="006E20AE" w:rsidRPr="005803E6">
        <w:rPr>
          <w:rFonts w:ascii="Arial" w:eastAsia="Times New Roman" w:hAnsi="Arial" w:cs="Arial"/>
          <w:b/>
          <w:bCs/>
          <w:color w:val="000000" w:themeColor="text1"/>
          <w:sz w:val="20"/>
          <w:szCs w:val="20"/>
          <w:u w:val="single"/>
          <w:lang w:eastAsia="de-DE"/>
        </w:rPr>
        <w:tab/>
      </w:r>
      <w:hyperlink r:id="rId21" w:history="1">
        <w:r w:rsidR="006E20AE" w:rsidRPr="005803E6">
          <w:rPr>
            <w:rFonts w:ascii="Arial" w:eastAsia="Times New Roman" w:hAnsi="Arial" w:cs="Arial"/>
            <w:b/>
            <w:bCs/>
            <w:color w:val="000000" w:themeColor="text1"/>
            <w:sz w:val="20"/>
            <w:szCs w:val="20"/>
            <w:u w:val="single"/>
            <w:lang w:eastAsia="de-DE"/>
          </w:rPr>
          <w:t>www.vdaa.de</w:t>
        </w:r>
      </w:hyperlink>
    </w:p>
    <w:sectPr w:rsidR="009A56DF" w:rsidRPr="005803E6">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49E5" w14:textId="77777777" w:rsidR="00AB6B0C" w:rsidRDefault="00AB6B0C" w:rsidP="009A56DF">
      <w:r>
        <w:separator/>
      </w:r>
    </w:p>
  </w:endnote>
  <w:endnote w:type="continuationSeparator" w:id="0">
    <w:p w14:paraId="40A649B8" w14:textId="77777777" w:rsidR="00AB6B0C" w:rsidRDefault="00AB6B0C" w:rsidP="009A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731566"/>
      <w:docPartObj>
        <w:docPartGallery w:val="Page Numbers (Bottom of Page)"/>
        <w:docPartUnique/>
      </w:docPartObj>
    </w:sdtPr>
    <w:sdtEndPr/>
    <w:sdtContent>
      <w:p w14:paraId="4B1EB8FF" w14:textId="77777777" w:rsidR="00031F13" w:rsidRDefault="00031F13">
        <w:pPr>
          <w:pStyle w:val="Fuzeile"/>
          <w:jc w:val="center"/>
        </w:pPr>
        <w:r>
          <w:rPr>
            <w:noProof/>
            <w:lang w:eastAsia="de-DE"/>
          </w:rPr>
          <mc:AlternateContent>
            <mc:Choice Requires="wps">
              <w:drawing>
                <wp:inline distT="0" distB="0" distL="0" distR="0" wp14:anchorId="02C5FA3C" wp14:editId="001D7FFB">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8FEE6AE"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74ABE673" w14:textId="77777777" w:rsidR="00031F13" w:rsidRDefault="00031F13">
        <w:pPr>
          <w:pStyle w:val="Fuzeile"/>
          <w:jc w:val="center"/>
        </w:pPr>
        <w:r>
          <w:fldChar w:fldCharType="begin"/>
        </w:r>
        <w:r>
          <w:instrText>PAGE    \* MERGEFORMAT</w:instrText>
        </w:r>
        <w:r>
          <w:fldChar w:fldCharType="separate"/>
        </w:r>
        <w:r>
          <w:rPr>
            <w:noProof/>
          </w:rPr>
          <w:t>1</w:t>
        </w:r>
        <w:r>
          <w:fldChar w:fldCharType="end"/>
        </w:r>
      </w:p>
    </w:sdtContent>
  </w:sdt>
  <w:p w14:paraId="01B4C57D" w14:textId="77777777" w:rsidR="00031F13" w:rsidRDefault="00031F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BCBD" w14:textId="77777777" w:rsidR="00AB6B0C" w:rsidRDefault="00AB6B0C" w:rsidP="009A56DF">
      <w:r>
        <w:separator/>
      </w:r>
    </w:p>
  </w:footnote>
  <w:footnote w:type="continuationSeparator" w:id="0">
    <w:p w14:paraId="1554F45E" w14:textId="77777777" w:rsidR="00AB6B0C" w:rsidRDefault="00AB6B0C" w:rsidP="009A5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38D5" w14:textId="77777777" w:rsidR="00031F13" w:rsidRPr="009A56DF" w:rsidRDefault="00031F13" w:rsidP="009A56DF">
    <w:pPr>
      <w:tabs>
        <w:tab w:val="center" w:pos="4536"/>
        <w:tab w:val="left" w:pos="7764"/>
        <w:tab w:val="right" w:pos="9071"/>
      </w:tabs>
      <w:spacing w:line="360" w:lineRule="auto"/>
      <w:jc w:val="center"/>
      <w:rPr>
        <w:rFonts w:ascii="Arial" w:hAnsi="Arial" w:cs="Arial"/>
        <w:b/>
        <w:bCs/>
        <w:sz w:val="28"/>
        <w:szCs w:val="28"/>
        <w:lang w:eastAsia="de-DE"/>
      </w:rPr>
    </w:pPr>
    <w:r w:rsidRPr="009A56DF">
      <w:rPr>
        <w:rFonts w:ascii="Arial" w:hAnsi="Arial" w:cs="Arial"/>
        <w:b/>
        <w:bCs/>
        <w:sz w:val="28"/>
        <w:szCs w:val="28"/>
        <w:lang w:eastAsia="de-DE"/>
      </w:rPr>
      <w:t xml:space="preserve">VDAA- </w:t>
    </w:r>
    <w:r w:rsidR="00261F70">
      <w:rPr>
        <w:rFonts w:ascii="Arial" w:hAnsi="Arial" w:cs="Arial"/>
        <w:b/>
        <w:bCs/>
        <w:sz w:val="28"/>
        <w:szCs w:val="28"/>
        <w:lang w:eastAsia="de-DE"/>
      </w:rPr>
      <w:t>Arbeitsrecht</w:t>
    </w:r>
    <w:r w:rsidRPr="009A56DF">
      <w:rPr>
        <w:rFonts w:ascii="Arial" w:hAnsi="Arial" w:cs="Arial"/>
        <w:b/>
        <w:bCs/>
        <w:sz w:val="28"/>
        <w:szCs w:val="28"/>
        <w:lang w:eastAsia="de-DE"/>
      </w:rPr>
      <w:t xml:space="preserve">sdepesche </w:t>
    </w:r>
    <w:r>
      <w:rPr>
        <w:rFonts w:ascii="Arial" w:hAnsi="Arial" w:cs="Arial"/>
        <w:b/>
        <w:bCs/>
        <w:sz w:val="28"/>
        <w:szCs w:val="28"/>
        <w:lang w:eastAsia="de-DE"/>
      </w:rPr>
      <w:t>05-</w:t>
    </w:r>
    <w:r w:rsidRPr="009A56DF">
      <w:rPr>
        <w:rFonts w:ascii="Arial" w:hAnsi="Arial" w:cs="Arial"/>
        <w:b/>
        <w:bCs/>
        <w:sz w:val="28"/>
        <w:szCs w:val="28"/>
        <w:lang w:eastAsia="de-DE"/>
      </w:rPr>
      <w:t>202</w:t>
    </w:r>
    <w:r>
      <w:rPr>
        <w:rFonts w:ascii="Arial" w:hAnsi="Arial" w:cs="Arial"/>
        <w:b/>
        <w:bCs/>
        <w:sz w:val="28"/>
        <w:szCs w:val="28"/>
        <w:lang w:eastAsia="de-D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7168"/>
    <w:multiLevelType w:val="multilevel"/>
    <w:tmpl w:val="FE5CA2A8"/>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
      <w:lvlJc w:val="left"/>
      <w:pPr>
        <w:tabs>
          <w:tab w:val="num" w:pos="2073"/>
        </w:tabs>
        <w:ind w:left="2073" w:hanging="360"/>
      </w:pPr>
      <w:rPr>
        <w:rFonts w:ascii="Symbol" w:hAnsi="Symbol" w:hint="default"/>
        <w:sz w:val="20"/>
      </w:rPr>
    </w:lvl>
    <w:lvl w:ilvl="2" w:tentative="1">
      <w:start w:val="1"/>
      <w:numFmt w:val="bullet"/>
      <w:lvlText w:val=""/>
      <w:lvlJc w:val="left"/>
      <w:pPr>
        <w:tabs>
          <w:tab w:val="num" w:pos="2793"/>
        </w:tabs>
        <w:ind w:left="2793" w:hanging="360"/>
      </w:pPr>
      <w:rPr>
        <w:rFonts w:ascii="Symbol" w:hAnsi="Symbol" w:hint="default"/>
        <w:sz w:val="20"/>
      </w:rPr>
    </w:lvl>
    <w:lvl w:ilvl="3" w:tentative="1">
      <w:start w:val="1"/>
      <w:numFmt w:val="bullet"/>
      <w:lvlText w:val=""/>
      <w:lvlJc w:val="left"/>
      <w:pPr>
        <w:tabs>
          <w:tab w:val="num" w:pos="3513"/>
        </w:tabs>
        <w:ind w:left="3513" w:hanging="360"/>
      </w:pPr>
      <w:rPr>
        <w:rFonts w:ascii="Symbol" w:hAnsi="Symbol" w:hint="default"/>
        <w:sz w:val="20"/>
      </w:rPr>
    </w:lvl>
    <w:lvl w:ilvl="4" w:tentative="1">
      <w:start w:val="1"/>
      <w:numFmt w:val="bullet"/>
      <w:lvlText w:val=""/>
      <w:lvlJc w:val="left"/>
      <w:pPr>
        <w:tabs>
          <w:tab w:val="num" w:pos="4233"/>
        </w:tabs>
        <w:ind w:left="4233" w:hanging="360"/>
      </w:pPr>
      <w:rPr>
        <w:rFonts w:ascii="Symbol" w:hAnsi="Symbol" w:hint="default"/>
        <w:sz w:val="20"/>
      </w:rPr>
    </w:lvl>
    <w:lvl w:ilvl="5" w:tentative="1">
      <w:start w:val="1"/>
      <w:numFmt w:val="bullet"/>
      <w:lvlText w:val=""/>
      <w:lvlJc w:val="left"/>
      <w:pPr>
        <w:tabs>
          <w:tab w:val="num" w:pos="4953"/>
        </w:tabs>
        <w:ind w:left="4953" w:hanging="360"/>
      </w:pPr>
      <w:rPr>
        <w:rFonts w:ascii="Symbol" w:hAnsi="Symbol" w:hint="default"/>
        <w:sz w:val="20"/>
      </w:rPr>
    </w:lvl>
    <w:lvl w:ilvl="6" w:tentative="1">
      <w:start w:val="1"/>
      <w:numFmt w:val="bullet"/>
      <w:lvlText w:val=""/>
      <w:lvlJc w:val="left"/>
      <w:pPr>
        <w:tabs>
          <w:tab w:val="num" w:pos="5673"/>
        </w:tabs>
        <w:ind w:left="5673" w:hanging="360"/>
      </w:pPr>
      <w:rPr>
        <w:rFonts w:ascii="Symbol" w:hAnsi="Symbol" w:hint="default"/>
        <w:sz w:val="20"/>
      </w:rPr>
    </w:lvl>
    <w:lvl w:ilvl="7" w:tentative="1">
      <w:start w:val="1"/>
      <w:numFmt w:val="bullet"/>
      <w:lvlText w:val=""/>
      <w:lvlJc w:val="left"/>
      <w:pPr>
        <w:tabs>
          <w:tab w:val="num" w:pos="6393"/>
        </w:tabs>
        <w:ind w:left="6393" w:hanging="360"/>
      </w:pPr>
      <w:rPr>
        <w:rFonts w:ascii="Symbol" w:hAnsi="Symbol" w:hint="default"/>
        <w:sz w:val="20"/>
      </w:rPr>
    </w:lvl>
    <w:lvl w:ilvl="8" w:tentative="1">
      <w:start w:val="1"/>
      <w:numFmt w:val="bullet"/>
      <w:lvlText w:val=""/>
      <w:lvlJc w:val="left"/>
      <w:pPr>
        <w:tabs>
          <w:tab w:val="num" w:pos="7113"/>
        </w:tabs>
        <w:ind w:left="7113" w:hanging="360"/>
      </w:pPr>
      <w:rPr>
        <w:rFonts w:ascii="Symbol" w:hAnsi="Symbol" w:hint="default"/>
        <w:sz w:val="20"/>
      </w:rPr>
    </w:lvl>
  </w:abstractNum>
  <w:abstractNum w:abstractNumId="1" w15:restartNumberingAfterBreak="0">
    <w:nsid w:val="0E8526C4"/>
    <w:multiLevelType w:val="hybridMultilevel"/>
    <w:tmpl w:val="BB2291D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230FBA"/>
    <w:multiLevelType w:val="multilevel"/>
    <w:tmpl w:val="137E1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56F03"/>
    <w:multiLevelType w:val="multilevel"/>
    <w:tmpl w:val="4730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736617"/>
    <w:multiLevelType w:val="multilevel"/>
    <w:tmpl w:val="97F61D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F204C"/>
    <w:multiLevelType w:val="hybridMultilevel"/>
    <w:tmpl w:val="4DF05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4F58A9"/>
    <w:multiLevelType w:val="hybridMultilevel"/>
    <w:tmpl w:val="193084BE"/>
    <w:lvl w:ilvl="0" w:tplc="05D8B0D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1C1374"/>
    <w:multiLevelType w:val="hybridMultilevel"/>
    <w:tmpl w:val="998C00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9AB30AD"/>
    <w:multiLevelType w:val="multilevel"/>
    <w:tmpl w:val="1FF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C5467F"/>
    <w:multiLevelType w:val="hybridMultilevel"/>
    <w:tmpl w:val="86BA013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454F74"/>
    <w:multiLevelType w:val="hybridMultilevel"/>
    <w:tmpl w:val="9E300982"/>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22C070A"/>
    <w:multiLevelType w:val="multilevel"/>
    <w:tmpl w:val="6B5299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FF7D61"/>
    <w:multiLevelType w:val="multilevel"/>
    <w:tmpl w:val="8158A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E0795E"/>
    <w:multiLevelType w:val="multilevel"/>
    <w:tmpl w:val="CF9C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851673"/>
    <w:multiLevelType w:val="hybridMultilevel"/>
    <w:tmpl w:val="CAA6EA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38686E"/>
    <w:multiLevelType w:val="multilevel"/>
    <w:tmpl w:val="0DA4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84566B"/>
    <w:multiLevelType w:val="hybridMultilevel"/>
    <w:tmpl w:val="F0B4AF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8C35BED"/>
    <w:multiLevelType w:val="multilevel"/>
    <w:tmpl w:val="AF7845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416460"/>
    <w:multiLevelType w:val="multilevel"/>
    <w:tmpl w:val="E37A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7A20F9"/>
    <w:multiLevelType w:val="multilevel"/>
    <w:tmpl w:val="6E24C9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6C125EA"/>
    <w:multiLevelType w:val="multilevel"/>
    <w:tmpl w:val="6D2A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1C33E6"/>
    <w:multiLevelType w:val="hybridMultilevel"/>
    <w:tmpl w:val="74AECD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815056C"/>
    <w:multiLevelType w:val="hybridMultilevel"/>
    <w:tmpl w:val="F1A29D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87460D3"/>
    <w:multiLevelType w:val="multilevel"/>
    <w:tmpl w:val="9C8EA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F34A1A"/>
    <w:multiLevelType w:val="multilevel"/>
    <w:tmpl w:val="29FCF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B7027E"/>
    <w:multiLevelType w:val="hybridMultilevel"/>
    <w:tmpl w:val="30E428B0"/>
    <w:lvl w:ilvl="0" w:tplc="6DDABB1A">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525F54DE"/>
    <w:multiLevelType w:val="hybridMultilevel"/>
    <w:tmpl w:val="28B283D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63D3B48"/>
    <w:multiLevelType w:val="multilevel"/>
    <w:tmpl w:val="D6B6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C45E92"/>
    <w:multiLevelType w:val="multilevel"/>
    <w:tmpl w:val="A300E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99516C"/>
    <w:multiLevelType w:val="multilevel"/>
    <w:tmpl w:val="D88CE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996003"/>
    <w:multiLevelType w:val="hybridMultilevel"/>
    <w:tmpl w:val="CA78FE02"/>
    <w:lvl w:ilvl="0" w:tplc="83329490">
      <w:start w:val="4"/>
      <w:numFmt w:val="bullet"/>
      <w:lvlText w:val="-"/>
      <w:lvlJc w:val="left"/>
      <w:pPr>
        <w:ind w:left="720" w:hanging="360"/>
      </w:pPr>
      <w:rPr>
        <w:rFonts w:ascii="Arial" w:eastAsia="Calibri" w:hAnsi="Arial" w:cs="Arial" w:hint="default"/>
      </w:rPr>
    </w:lvl>
    <w:lvl w:ilvl="1" w:tplc="53F2E536">
      <w:start w:val="1"/>
      <w:numFmt w:val="decimal"/>
      <w:lvlText w:val="%2."/>
      <w:lvlJc w:val="left"/>
      <w:pPr>
        <w:tabs>
          <w:tab w:val="num" w:pos="1440"/>
        </w:tabs>
        <w:ind w:left="1440" w:hanging="360"/>
      </w:pPr>
      <w:rPr>
        <w:rFonts w:ascii="Arial" w:eastAsia="Calibri" w:hAnsi="Arial" w:cs="Arial"/>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1" w15:restartNumberingAfterBreak="0">
    <w:nsid w:val="582008CC"/>
    <w:multiLevelType w:val="multilevel"/>
    <w:tmpl w:val="7B46A6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073558"/>
    <w:multiLevelType w:val="multilevel"/>
    <w:tmpl w:val="5F70E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B632368"/>
    <w:multiLevelType w:val="multilevel"/>
    <w:tmpl w:val="ECCAB9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E07BF2"/>
    <w:multiLevelType w:val="multilevel"/>
    <w:tmpl w:val="713A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D64059"/>
    <w:multiLevelType w:val="multilevel"/>
    <w:tmpl w:val="97A88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523B9F"/>
    <w:multiLevelType w:val="multilevel"/>
    <w:tmpl w:val="2BC2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E473B7"/>
    <w:multiLevelType w:val="multilevel"/>
    <w:tmpl w:val="E3B4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802C29"/>
    <w:multiLevelType w:val="multilevel"/>
    <w:tmpl w:val="B2E8E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6A21B5"/>
    <w:multiLevelType w:val="multilevel"/>
    <w:tmpl w:val="9E58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3179DE"/>
    <w:multiLevelType w:val="multilevel"/>
    <w:tmpl w:val="F800D4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1B34D8"/>
    <w:multiLevelType w:val="hybridMultilevel"/>
    <w:tmpl w:val="A78C5006"/>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76409DA"/>
    <w:multiLevelType w:val="multilevel"/>
    <w:tmpl w:val="221A9B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04667F"/>
    <w:multiLevelType w:val="multilevel"/>
    <w:tmpl w:val="A3C8AE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054891"/>
    <w:multiLevelType w:val="hybridMultilevel"/>
    <w:tmpl w:val="F7AC3EB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2"/>
  </w:num>
  <w:num w:numId="9">
    <w:abstractNumId w:val="30"/>
  </w:num>
  <w:num w:numId="10">
    <w:abstractNumId w:val="6"/>
  </w:num>
  <w:num w:numId="11">
    <w:abstractNumId w:val="14"/>
  </w:num>
  <w:num w:numId="12">
    <w:abstractNumId w:val="41"/>
  </w:num>
  <w:num w:numId="13">
    <w:abstractNumId w:val="44"/>
  </w:num>
  <w:num w:numId="14">
    <w:abstractNumId w:val="10"/>
  </w:num>
  <w:num w:numId="15">
    <w:abstractNumId w:val="7"/>
  </w:num>
  <w:num w:numId="16">
    <w:abstractNumId w:val="9"/>
  </w:num>
  <w:num w:numId="17">
    <w:abstractNumId w:val="1"/>
  </w:num>
  <w:num w:numId="18">
    <w:abstractNumId w:val="35"/>
  </w:num>
  <w:num w:numId="19">
    <w:abstractNumId w:val="31"/>
  </w:num>
  <w:num w:numId="20">
    <w:abstractNumId w:val="36"/>
  </w:num>
  <w:num w:numId="21">
    <w:abstractNumId w:val="43"/>
  </w:num>
  <w:num w:numId="22">
    <w:abstractNumId w:val="28"/>
  </w:num>
  <w:num w:numId="23">
    <w:abstractNumId w:val="38"/>
  </w:num>
  <w:num w:numId="24">
    <w:abstractNumId w:val="40"/>
  </w:num>
  <w:num w:numId="25">
    <w:abstractNumId w:val="27"/>
  </w:num>
  <w:num w:numId="26">
    <w:abstractNumId w:val="3"/>
  </w:num>
  <w:num w:numId="27">
    <w:abstractNumId w:val="34"/>
  </w:num>
  <w:num w:numId="28">
    <w:abstractNumId w:val="8"/>
  </w:num>
  <w:num w:numId="29">
    <w:abstractNumId w:val="18"/>
  </w:num>
  <w:num w:numId="30">
    <w:abstractNumId w:val="0"/>
  </w:num>
  <w:num w:numId="31">
    <w:abstractNumId w:val="37"/>
  </w:num>
  <w:num w:numId="32">
    <w:abstractNumId w:val="15"/>
  </w:num>
  <w:num w:numId="33">
    <w:abstractNumId w:val="12"/>
  </w:num>
  <w:num w:numId="34">
    <w:abstractNumId w:val="29"/>
  </w:num>
  <w:num w:numId="35">
    <w:abstractNumId w:val="11"/>
  </w:num>
  <w:num w:numId="36">
    <w:abstractNumId w:val="2"/>
  </w:num>
  <w:num w:numId="37">
    <w:abstractNumId w:val="17"/>
  </w:num>
  <w:num w:numId="38">
    <w:abstractNumId w:val="42"/>
  </w:num>
  <w:num w:numId="39">
    <w:abstractNumId w:val="4"/>
  </w:num>
  <w:num w:numId="40">
    <w:abstractNumId w:val="23"/>
  </w:num>
  <w:num w:numId="41">
    <w:abstractNumId w:val="24"/>
  </w:num>
  <w:num w:numId="42">
    <w:abstractNumId w:val="33"/>
  </w:num>
  <w:num w:numId="43">
    <w:abstractNumId w:val="39"/>
  </w:num>
  <w:num w:numId="44">
    <w:abstractNumId w:val="20"/>
  </w:num>
  <w:num w:numId="45">
    <w:abstractNumId w:val="13"/>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DF"/>
    <w:rsid w:val="00031F13"/>
    <w:rsid w:val="00035589"/>
    <w:rsid w:val="0008643F"/>
    <w:rsid w:val="000A5F31"/>
    <w:rsid w:val="0013090C"/>
    <w:rsid w:val="00261F70"/>
    <w:rsid w:val="002A6615"/>
    <w:rsid w:val="002C1018"/>
    <w:rsid w:val="00306742"/>
    <w:rsid w:val="0033607A"/>
    <w:rsid w:val="00370FDF"/>
    <w:rsid w:val="00385969"/>
    <w:rsid w:val="00387D57"/>
    <w:rsid w:val="003A5C69"/>
    <w:rsid w:val="003B31AA"/>
    <w:rsid w:val="003E4723"/>
    <w:rsid w:val="003E7491"/>
    <w:rsid w:val="003F477B"/>
    <w:rsid w:val="00462790"/>
    <w:rsid w:val="00514095"/>
    <w:rsid w:val="005529F7"/>
    <w:rsid w:val="005803E6"/>
    <w:rsid w:val="005A2931"/>
    <w:rsid w:val="005B0A0D"/>
    <w:rsid w:val="005B29E0"/>
    <w:rsid w:val="00603D8C"/>
    <w:rsid w:val="00676CB1"/>
    <w:rsid w:val="006E20AE"/>
    <w:rsid w:val="006E52CE"/>
    <w:rsid w:val="006F5A52"/>
    <w:rsid w:val="00714A98"/>
    <w:rsid w:val="007151A1"/>
    <w:rsid w:val="00765DBE"/>
    <w:rsid w:val="00797C7A"/>
    <w:rsid w:val="007F576A"/>
    <w:rsid w:val="008D41DE"/>
    <w:rsid w:val="008F7B68"/>
    <w:rsid w:val="00927C51"/>
    <w:rsid w:val="00993C65"/>
    <w:rsid w:val="009A56DF"/>
    <w:rsid w:val="009C7E84"/>
    <w:rsid w:val="00A9452A"/>
    <w:rsid w:val="00AB6B0C"/>
    <w:rsid w:val="00BE2601"/>
    <w:rsid w:val="00C72978"/>
    <w:rsid w:val="00CC485E"/>
    <w:rsid w:val="00CC4F45"/>
    <w:rsid w:val="00D574B8"/>
    <w:rsid w:val="00D60948"/>
    <w:rsid w:val="00D61700"/>
    <w:rsid w:val="00D914B8"/>
    <w:rsid w:val="00DD2F2F"/>
    <w:rsid w:val="00DD43AA"/>
    <w:rsid w:val="00E513FE"/>
    <w:rsid w:val="00E61A0C"/>
    <w:rsid w:val="00E774E1"/>
    <w:rsid w:val="00EA4E71"/>
    <w:rsid w:val="00ED7F24"/>
    <w:rsid w:val="00EE633C"/>
    <w:rsid w:val="00F40A47"/>
    <w:rsid w:val="00F60654"/>
    <w:rsid w:val="00F87F98"/>
    <w:rsid w:val="00FE2C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0B30A5"/>
  <w15:chartTrackingRefBased/>
  <w15:docId w15:val="{FF726963-821F-4B86-BB5C-E32DE3EB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56DF"/>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56DF"/>
    <w:pPr>
      <w:tabs>
        <w:tab w:val="center" w:pos="4536"/>
        <w:tab w:val="right" w:pos="9072"/>
      </w:tabs>
    </w:pPr>
  </w:style>
  <w:style w:type="character" w:customStyle="1" w:styleId="KopfzeileZchn">
    <w:name w:val="Kopfzeile Zchn"/>
    <w:basedOn w:val="Absatz-Standardschriftart"/>
    <w:link w:val="Kopfzeile"/>
    <w:uiPriority w:val="99"/>
    <w:rsid w:val="009A56DF"/>
  </w:style>
  <w:style w:type="paragraph" w:styleId="Fuzeile">
    <w:name w:val="footer"/>
    <w:basedOn w:val="Standard"/>
    <w:link w:val="FuzeileZchn"/>
    <w:uiPriority w:val="99"/>
    <w:unhideWhenUsed/>
    <w:rsid w:val="009A56DF"/>
    <w:pPr>
      <w:tabs>
        <w:tab w:val="center" w:pos="4536"/>
        <w:tab w:val="right" w:pos="9072"/>
      </w:tabs>
    </w:pPr>
  </w:style>
  <w:style w:type="character" w:customStyle="1" w:styleId="FuzeileZchn">
    <w:name w:val="Fußzeile Zchn"/>
    <w:basedOn w:val="Absatz-Standardschriftart"/>
    <w:link w:val="Fuzeile"/>
    <w:uiPriority w:val="99"/>
    <w:rsid w:val="009A56DF"/>
  </w:style>
  <w:style w:type="character" w:styleId="Hyperlink">
    <w:name w:val="Hyperlink"/>
    <w:basedOn w:val="Absatz-Standardschriftart"/>
    <w:uiPriority w:val="99"/>
    <w:unhideWhenUsed/>
    <w:rsid w:val="009A56DF"/>
    <w:rPr>
      <w:color w:val="0563C1"/>
      <w:u w:val="single"/>
    </w:rPr>
  </w:style>
  <w:style w:type="paragraph" w:styleId="Listenabsatz">
    <w:name w:val="List Paragraph"/>
    <w:basedOn w:val="Standard"/>
    <w:uiPriority w:val="34"/>
    <w:qFormat/>
    <w:rsid w:val="00EE633C"/>
    <w:pPr>
      <w:ind w:left="720"/>
      <w:contextualSpacing/>
    </w:pPr>
  </w:style>
  <w:style w:type="character" w:styleId="NichtaufgelsteErwhnung">
    <w:name w:val="Unresolved Mention"/>
    <w:basedOn w:val="Absatz-Standardschriftart"/>
    <w:uiPriority w:val="99"/>
    <w:semiHidden/>
    <w:unhideWhenUsed/>
    <w:rsid w:val="003B3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534">
      <w:bodyDiv w:val="1"/>
      <w:marLeft w:val="0"/>
      <w:marRight w:val="0"/>
      <w:marTop w:val="0"/>
      <w:marBottom w:val="0"/>
      <w:divBdr>
        <w:top w:val="none" w:sz="0" w:space="0" w:color="auto"/>
        <w:left w:val="none" w:sz="0" w:space="0" w:color="auto"/>
        <w:bottom w:val="none" w:sz="0" w:space="0" w:color="auto"/>
        <w:right w:val="none" w:sz="0" w:space="0" w:color="auto"/>
      </w:divBdr>
    </w:div>
    <w:div w:id="298535447">
      <w:bodyDiv w:val="1"/>
      <w:marLeft w:val="0"/>
      <w:marRight w:val="0"/>
      <w:marTop w:val="0"/>
      <w:marBottom w:val="0"/>
      <w:divBdr>
        <w:top w:val="none" w:sz="0" w:space="0" w:color="auto"/>
        <w:left w:val="none" w:sz="0" w:space="0" w:color="auto"/>
        <w:bottom w:val="none" w:sz="0" w:space="0" w:color="auto"/>
        <w:right w:val="none" w:sz="0" w:space="0" w:color="auto"/>
      </w:divBdr>
    </w:div>
    <w:div w:id="384374318">
      <w:bodyDiv w:val="1"/>
      <w:marLeft w:val="0"/>
      <w:marRight w:val="0"/>
      <w:marTop w:val="0"/>
      <w:marBottom w:val="0"/>
      <w:divBdr>
        <w:top w:val="none" w:sz="0" w:space="0" w:color="auto"/>
        <w:left w:val="none" w:sz="0" w:space="0" w:color="auto"/>
        <w:bottom w:val="none" w:sz="0" w:space="0" w:color="auto"/>
        <w:right w:val="none" w:sz="0" w:space="0" w:color="auto"/>
      </w:divBdr>
    </w:div>
    <w:div w:id="457653121">
      <w:bodyDiv w:val="1"/>
      <w:marLeft w:val="0"/>
      <w:marRight w:val="0"/>
      <w:marTop w:val="0"/>
      <w:marBottom w:val="0"/>
      <w:divBdr>
        <w:top w:val="none" w:sz="0" w:space="0" w:color="auto"/>
        <w:left w:val="none" w:sz="0" w:space="0" w:color="auto"/>
        <w:bottom w:val="none" w:sz="0" w:space="0" w:color="auto"/>
        <w:right w:val="none" w:sz="0" w:space="0" w:color="auto"/>
      </w:divBdr>
    </w:div>
    <w:div w:id="485558431">
      <w:bodyDiv w:val="1"/>
      <w:marLeft w:val="0"/>
      <w:marRight w:val="0"/>
      <w:marTop w:val="0"/>
      <w:marBottom w:val="0"/>
      <w:divBdr>
        <w:top w:val="none" w:sz="0" w:space="0" w:color="auto"/>
        <w:left w:val="none" w:sz="0" w:space="0" w:color="auto"/>
        <w:bottom w:val="none" w:sz="0" w:space="0" w:color="auto"/>
        <w:right w:val="none" w:sz="0" w:space="0" w:color="auto"/>
      </w:divBdr>
    </w:div>
    <w:div w:id="567115679">
      <w:bodyDiv w:val="1"/>
      <w:marLeft w:val="0"/>
      <w:marRight w:val="0"/>
      <w:marTop w:val="0"/>
      <w:marBottom w:val="0"/>
      <w:divBdr>
        <w:top w:val="none" w:sz="0" w:space="0" w:color="auto"/>
        <w:left w:val="none" w:sz="0" w:space="0" w:color="auto"/>
        <w:bottom w:val="none" w:sz="0" w:space="0" w:color="auto"/>
        <w:right w:val="none" w:sz="0" w:space="0" w:color="auto"/>
      </w:divBdr>
    </w:div>
    <w:div w:id="633411447">
      <w:bodyDiv w:val="1"/>
      <w:marLeft w:val="0"/>
      <w:marRight w:val="0"/>
      <w:marTop w:val="0"/>
      <w:marBottom w:val="0"/>
      <w:divBdr>
        <w:top w:val="none" w:sz="0" w:space="0" w:color="auto"/>
        <w:left w:val="none" w:sz="0" w:space="0" w:color="auto"/>
        <w:bottom w:val="none" w:sz="0" w:space="0" w:color="auto"/>
        <w:right w:val="none" w:sz="0" w:space="0" w:color="auto"/>
      </w:divBdr>
    </w:div>
    <w:div w:id="1028332026">
      <w:bodyDiv w:val="1"/>
      <w:marLeft w:val="0"/>
      <w:marRight w:val="0"/>
      <w:marTop w:val="0"/>
      <w:marBottom w:val="0"/>
      <w:divBdr>
        <w:top w:val="none" w:sz="0" w:space="0" w:color="auto"/>
        <w:left w:val="none" w:sz="0" w:space="0" w:color="auto"/>
        <w:bottom w:val="none" w:sz="0" w:space="0" w:color="auto"/>
        <w:right w:val="none" w:sz="0" w:space="0" w:color="auto"/>
      </w:divBdr>
    </w:div>
    <w:div w:id="1031302722">
      <w:bodyDiv w:val="1"/>
      <w:marLeft w:val="0"/>
      <w:marRight w:val="0"/>
      <w:marTop w:val="0"/>
      <w:marBottom w:val="0"/>
      <w:divBdr>
        <w:top w:val="none" w:sz="0" w:space="0" w:color="auto"/>
        <w:left w:val="none" w:sz="0" w:space="0" w:color="auto"/>
        <w:bottom w:val="none" w:sz="0" w:space="0" w:color="auto"/>
        <w:right w:val="none" w:sz="0" w:space="0" w:color="auto"/>
      </w:divBdr>
    </w:div>
    <w:div w:id="1054961311">
      <w:bodyDiv w:val="1"/>
      <w:marLeft w:val="0"/>
      <w:marRight w:val="0"/>
      <w:marTop w:val="0"/>
      <w:marBottom w:val="0"/>
      <w:divBdr>
        <w:top w:val="none" w:sz="0" w:space="0" w:color="auto"/>
        <w:left w:val="none" w:sz="0" w:space="0" w:color="auto"/>
        <w:bottom w:val="none" w:sz="0" w:space="0" w:color="auto"/>
        <w:right w:val="none" w:sz="0" w:space="0" w:color="auto"/>
      </w:divBdr>
    </w:div>
    <w:div w:id="1204637568">
      <w:bodyDiv w:val="1"/>
      <w:marLeft w:val="0"/>
      <w:marRight w:val="0"/>
      <w:marTop w:val="0"/>
      <w:marBottom w:val="0"/>
      <w:divBdr>
        <w:top w:val="none" w:sz="0" w:space="0" w:color="auto"/>
        <w:left w:val="none" w:sz="0" w:space="0" w:color="auto"/>
        <w:bottom w:val="none" w:sz="0" w:space="0" w:color="auto"/>
        <w:right w:val="none" w:sz="0" w:space="0" w:color="auto"/>
      </w:divBdr>
    </w:div>
    <w:div w:id="1231159481">
      <w:bodyDiv w:val="1"/>
      <w:marLeft w:val="0"/>
      <w:marRight w:val="0"/>
      <w:marTop w:val="0"/>
      <w:marBottom w:val="0"/>
      <w:divBdr>
        <w:top w:val="none" w:sz="0" w:space="0" w:color="auto"/>
        <w:left w:val="none" w:sz="0" w:space="0" w:color="auto"/>
        <w:bottom w:val="none" w:sz="0" w:space="0" w:color="auto"/>
        <w:right w:val="none" w:sz="0" w:space="0" w:color="auto"/>
      </w:divBdr>
    </w:div>
    <w:div w:id="1246308366">
      <w:bodyDiv w:val="1"/>
      <w:marLeft w:val="0"/>
      <w:marRight w:val="0"/>
      <w:marTop w:val="0"/>
      <w:marBottom w:val="0"/>
      <w:divBdr>
        <w:top w:val="none" w:sz="0" w:space="0" w:color="auto"/>
        <w:left w:val="none" w:sz="0" w:space="0" w:color="auto"/>
        <w:bottom w:val="none" w:sz="0" w:space="0" w:color="auto"/>
        <w:right w:val="none" w:sz="0" w:space="0" w:color="auto"/>
      </w:divBdr>
    </w:div>
    <w:div w:id="1278682831">
      <w:bodyDiv w:val="1"/>
      <w:marLeft w:val="0"/>
      <w:marRight w:val="0"/>
      <w:marTop w:val="0"/>
      <w:marBottom w:val="0"/>
      <w:divBdr>
        <w:top w:val="none" w:sz="0" w:space="0" w:color="auto"/>
        <w:left w:val="none" w:sz="0" w:space="0" w:color="auto"/>
        <w:bottom w:val="none" w:sz="0" w:space="0" w:color="auto"/>
        <w:right w:val="none" w:sz="0" w:space="0" w:color="auto"/>
      </w:divBdr>
    </w:div>
    <w:div w:id="1458452529">
      <w:bodyDiv w:val="1"/>
      <w:marLeft w:val="0"/>
      <w:marRight w:val="0"/>
      <w:marTop w:val="0"/>
      <w:marBottom w:val="0"/>
      <w:divBdr>
        <w:top w:val="none" w:sz="0" w:space="0" w:color="auto"/>
        <w:left w:val="none" w:sz="0" w:space="0" w:color="auto"/>
        <w:bottom w:val="none" w:sz="0" w:space="0" w:color="auto"/>
        <w:right w:val="none" w:sz="0" w:space="0" w:color="auto"/>
      </w:divBdr>
    </w:div>
    <w:div w:id="1463771996">
      <w:bodyDiv w:val="1"/>
      <w:marLeft w:val="0"/>
      <w:marRight w:val="0"/>
      <w:marTop w:val="0"/>
      <w:marBottom w:val="0"/>
      <w:divBdr>
        <w:top w:val="none" w:sz="0" w:space="0" w:color="auto"/>
        <w:left w:val="none" w:sz="0" w:space="0" w:color="auto"/>
        <w:bottom w:val="none" w:sz="0" w:space="0" w:color="auto"/>
        <w:right w:val="none" w:sz="0" w:space="0" w:color="auto"/>
      </w:divBdr>
    </w:div>
    <w:div w:id="1698308432">
      <w:bodyDiv w:val="1"/>
      <w:marLeft w:val="0"/>
      <w:marRight w:val="0"/>
      <w:marTop w:val="0"/>
      <w:marBottom w:val="0"/>
      <w:divBdr>
        <w:top w:val="none" w:sz="0" w:space="0" w:color="auto"/>
        <w:left w:val="none" w:sz="0" w:space="0" w:color="auto"/>
        <w:bottom w:val="none" w:sz="0" w:space="0" w:color="auto"/>
        <w:right w:val="none" w:sz="0" w:space="0" w:color="auto"/>
      </w:divBdr>
    </w:div>
    <w:div w:id="1723600033">
      <w:bodyDiv w:val="1"/>
      <w:marLeft w:val="0"/>
      <w:marRight w:val="0"/>
      <w:marTop w:val="0"/>
      <w:marBottom w:val="0"/>
      <w:divBdr>
        <w:top w:val="none" w:sz="0" w:space="0" w:color="auto"/>
        <w:left w:val="none" w:sz="0" w:space="0" w:color="auto"/>
        <w:bottom w:val="none" w:sz="0" w:space="0" w:color="auto"/>
        <w:right w:val="none" w:sz="0" w:space="0" w:color="auto"/>
      </w:divBdr>
    </w:div>
    <w:div w:id="1750691561">
      <w:bodyDiv w:val="1"/>
      <w:marLeft w:val="0"/>
      <w:marRight w:val="0"/>
      <w:marTop w:val="0"/>
      <w:marBottom w:val="0"/>
      <w:divBdr>
        <w:top w:val="none" w:sz="0" w:space="0" w:color="auto"/>
        <w:left w:val="none" w:sz="0" w:space="0" w:color="auto"/>
        <w:bottom w:val="none" w:sz="0" w:space="0" w:color="auto"/>
        <w:right w:val="none" w:sz="0" w:space="0" w:color="auto"/>
      </w:divBdr>
    </w:div>
    <w:div w:id="1803844013">
      <w:bodyDiv w:val="1"/>
      <w:marLeft w:val="0"/>
      <w:marRight w:val="0"/>
      <w:marTop w:val="0"/>
      <w:marBottom w:val="0"/>
      <w:divBdr>
        <w:top w:val="none" w:sz="0" w:space="0" w:color="auto"/>
        <w:left w:val="none" w:sz="0" w:space="0" w:color="auto"/>
        <w:bottom w:val="none" w:sz="0" w:space="0" w:color="auto"/>
        <w:right w:val="none" w:sz="0" w:space="0" w:color="auto"/>
      </w:divBdr>
    </w:div>
    <w:div w:id="1831436243">
      <w:bodyDiv w:val="1"/>
      <w:marLeft w:val="0"/>
      <w:marRight w:val="0"/>
      <w:marTop w:val="0"/>
      <w:marBottom w:val="0"/>
      <w:divBdr>
        <w:top w:val="none" w:sz="0" w:space="0" w:color="auto"/>
        <w:left w:val="none" w:sz="0" w:space="0" w:color="auto"/>
        <w:bottom w:val="none" w:sz="0" w:space="0" w:color="auto"/>
        <w:right w:val="none" w:sz="0" w:space="0" w:color="auto"/>
      </w:divBdr>
    </w:div>
    <w:div w:id="1907179043">
      <w:bodyDiv w:val="1"/>
      <w:marLeft w:val="0"/>
      <w:marRight w:val="0"/>
      <w:marTop w:val="0"/>
      <w:marBottom w:val="0"/>
      <w:divBdr>
        <w:top w:val="none" w:sz="0" w:space="0" w:color="auto"/>
        <w:left w:val="none" w:sz="0" w:space="0" w:color="auto"/>
        <w:bottom w:val="none" w:sz="0" w:space="0" w:color="auto"/>
        <w:right w:val="none" w:sz="0" w:space="0" w:color="auto"/>
      </w:divBdr>
    </w:div>
    <w:div w:id="1998069268">
      <w:bodyDiv w:val="1"/>
      <w:marLeft w:val="0"/>
      <w:marRight w:val="0"/>
      <w:marTop w:val="0"/>
      <w:marBottom w:val="0"/>
      <w:divBdr>
        <w:top w:val="none" w:sz="0" w:space="0" w:color="auto"/>
        <w:left w:val="none" w:sz="0" w:space="0" w:color="auto"/>
        <w:bottom w:val="none" w:sz="0" w:space="0" w:color="auto"/>
        <w:right w:val="none" w:sz="0" w:space="0" w:color="auto"/>
      </w:divBdr>
    </w:div>
    <w:div w:id="21186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f-gmx.net/mail/client/lWAKPWckxRo/dereferrer/?redirectUrl=https%3A%2F%2Fwww.bundesarbeitsgericht.de%2Fpresse%2Fmassenentlassung-rechtsfolgen-von-fehlern-im-anzeigeverfahren-ergaenzende-vorlage%2F" TargetMode="External"/><Relationship Id="rId13" Type="http://schemas.openxmlformats.org/officeDocument/2006/relationships/hyperlink" Target="https://deref-gmx.net/mail/client/PNknqabQZ2g/dereferrer/?redirectUrl=https%3A%2F%2Fwww.justiz.nrw%2Fnrwe%2Farbgs%2Fhamm%2Flag_hamm%2Fj2024%2F9_Sa_634_23_Urteil_20240228.html" TargetMode="External"/><Relationship Id="rId18" Type="http://schemas.openxmlformats.org/officeDocument/2006/relationships/hyperlink" Target="https://deref-gmx.net/mail/client/ljRXz9pRo80/dereferrer/?redirectUrl=https%3A%2F%2Fvoris.wolterskluwer-online.de%2Fbrowse%2Fdocument%2Ff17fad9c-f831-487e-ba93-b00326f8719e" TargetMode="External"/><Relationship Id="rId3" Type="http://schemas.openxmlformats.org/officeDocument/2006/relationships/settings" Target="settings.xml"/><Relationship Id="rId21" Type="http://schemas.openxmlformats.org/officeDocument/2006/relationships/hyperlink" Target="http://www.vdaa.de" TargetMode="External"/><Relationship Id="rId7" Type="http://schemas.openxmlformats.org/officeDocument/2006/relationships/image" Target="media/image1.png"/><Relationship Id="rId12" Type="http://schemas.openxmlformats.org/officeDocument/2006/relationships/hyperlink" Target="https://deref-gmx.net/mail/client/CY9LLchRuJI/dereferrer/?redirectUrl=https%3A%2F%2Fwww.landesrecht-bw.de%2Fbsbw%2Fdocument%2FNJRE001575089" TargetMode="External"/><Relationship Id="rId17" Type="http://schemas.openxmlformats.org/officeDocument/2006/relationships/hyperlink" Target="https://deref-gmx.net/mail/client/ZHGACanTq0w/dereferrer/?redirectUrl=https%3A%2F%2Fvoris.wolterskluwer-online.de%2Fbrowse%2Fdocument%2Fda5d1526-7aa4-4825-a52e-572e5d8b37b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eref-gmx.net/mail/client/zaM8tTtjOVA/dereferrer/?redirectUrl=https%3A%2F%2Fvoris.wolterskluwer-online.de%2Fbrowse%2Fdocument%2Fd4ecd029-cff0-4968-bd35-620cd3fcd949" TargetMode="External"/><Relationship Id="rId20" Type="http://schemas.openxmlformats.org/officeDocument/2006/relationships/hyperlink" Target="mailto:info@vdaa.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ndesrecht-bw.de/bsbw/document/NJRE00157431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eref-gmx.net/mail/client/8Wv_EOlNdbM/dereferrer/?redirectUrl=https%3A%2F%2Fvoris.wolterskluwer-online.de%2Fbrowse%2Fdocument%2F29a8225c-5dc5-4739-bbd9-232e1b4129ef" TargetMode="External"/><Relationship Id="rId23" Type="http://schemas.openxmlformats.org/officeDocument/2006/relationships/footer" Target="footer1.xml"/><Relationship Id="rId10" Type="http://schemas.openxmlformats.org/officeDocument/2006/relationships/hyperlink" Target="https://deref-gmx.net/mail/client/H7xP8iz3doI/dereferrer/?redirectUrl=https%3A%2F%2Fwww.landesrecht-bw.de%2Fbsbw%2Fdocument%2FNJRE001574315" TargetMode="External"/><Relationship Id="rId19" Type="http://schemas.openxmlformats.org/officeDocument/2006/relationships/hyperlink" Target="https://deref-gmx.net/mail/client/kKdLVw-7ZKU/dereferrer/?redirectUrl=https%3A%2F%2Fwww.bundesfinanzhof.de%2Fde%2Fentscheidung%2Fentscheidungen-online%2Fdetail%2FSTRE202410082%2F" TargetMode="External"/><Relationship Id="rId4" Type="http://schemas.openxmlformats.org/officeDocument/2006/relationships/webSettings" Target="webSettings.xml"/><Relationship Id="rId9" Type="http://schemas.openxmlformats.org/officeDocument/2006/relationships/hyperlink" Target="https://deref-gmx.net/mail/client/N2Qzhmyup2E/dereferrer/?redirectUrl=https%3A%2F%2Fwww.bundesarbeitsgericht.de%2Fpresse%2Fkontrollpflichten-eines-rechtsanwalts-bei-fristsachen-aenderung-der-rechtsprechung%2F" TargetMode="External"/><Relationship Id="rId14" Type="http://schemas.openxmlformats.org/officeDocument/2006/relationships/hyperlink" Target="https://deref-gmx.net/mail/client/GjcW9pB30DY/dereferrer/?redirectUrl=https%3A%2F%2Fwww.justiz.nrw%2FBS%2Fnrwe2%2Findex.php%23solrNrwe"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2582</Words>
  <Characters>17255</Characters>
  <Application>Microsoft Office Word</Application>
  <DocSecurity>0</DocSecurity>
  <Lines>367</Lines>
  <Paragraphs>139</Paragraphs>
  <ScaleCrop>false</ScaleCrop>
  <HeadingPairs>
    <vt:vector size="2" baseType="variant">
      <vt:variant>
        <vt:lpstr>Titel</vt:lpstr>
      </vt:variant>
      <vt:variant>
        <vt:i4>1</vt:i4>
      </vt:variant>
    </vt:vector>
  </HeadingPairs>
  <TitlesOfParts>
    <vt:vector size="1" baseType="lpstr">
      <vt:lpstr>Unternehmensdepesche</vt:lpstr>
    </vt:vector>
  </TitlesOfParts>
  <Company>Dr. Gaupp &amp; Coll.</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Unternehmensdepesche</cp:keywords>
  <dc:description/>
  <cp:lastModifiedBy>Michael Henn</cp:lastModifiedBy>
  <cp:revision>4</cp:revision>
  <dcterms:created xsi:type="dcterms:W3CDTF">2024-06-04T20:00:00Z</dcterms:created>
  <dcterms:modified xsi:type="dcterms:W3CDTF">2024-06-05T16:45:00Z</dcterms:modified>
</cp:coreProperties>
</file>