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6DF" w:rsidRPr="00A3339C" w:rsidRDefault="009A56DF" w:rsidP="00A3339C">
      <w:pPr>
        <w:jc w:val="right"/>
        <w:rPr>
          <w:rFonts w:ascii="Arial" w:hAnsi="Arial" w:cs="Arial"/>
          <w:sz w:val="20"/>
          <w:szCs w:val="20"/>
        </w:rPr>
      </w:pPr>
      <w:bookmarkStart w:id="0" w:name="_Hlk22231110"/>
      <w:bookmarkStart w:id="1" w:name="_GoBack"/>
      <w:bookmarkEnd w:id="1"/>
      <w:r w:rsidRPr="00A3339C">
        <w:rPr>
          <w:rFonts w:ascii="Arial" w:eastAsia="Times New Roman" w:hAnsi="Arial" w:cs="Arial"/>
          <w:noProof/>
          <w:sz w:val="20"/>
          <w:szCs w:val="20"/>
          <w:lang w:eastAsia="de-DE"/>
        </w:rPr>
        <w:drawing>
          <wp:inline distT="0" distB="0" distL="0" distR="0" wp14:anchorId="3FFA990E" wp14:editId="0BCE90FF">
            <wp:extent cx="1314450" cy="552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0"/>
    </w:p>
    <w:p w:rsidR="009A56DF" w:rsidRPr="00A3339C" w:rsidRDefault="009A56DF" w:rsidP="000377B7">
      <w:pPr>
        <w:tabs>
          <w:tab w:val="center" w:pos="4536"/>
          <w:tab w:val="right" w:pos="9072"/>
        </w:tabs>
        <w:jc w:val="center"/>
        <w:rPr>
          <w:rFonts w:ascii="Arial" w:hAnsi="Arial" w:cs="Arial"/>
          <w:b/>
          <w:bCs/>
          <w:sz w:val="20"/>
          <w:szCs w:val="20"/>
        </w:rPr>
      </w:pPr>
      <w:r w:rsidRPr="00A3339C">
        <w:rPr>
          <w:rFonts w:ascii="Arial" w:hAnsi="Arial" w:cs="Arial"/>
          <w:b/>
          <w:bCs/>
          <w:sz w:val="20"/>
          <w:szCs w:val="20"/>
        </w:rPr>
        <w:t>Urteile, die Sie interessieren könnten</w:t>
      </w:r>
    </w:p>
    <w:p w:rsidR="009A56DF" w:rsidRPr="00A3339C" w:rsidRDefault="009A56DF" w:rsidP="000377B7">
      <w:pPr>
        <w:tabs>
          <w:tab w:val="center" w:pos="4536"/>
          <w:tab w:val="right" w:pos="9072"/>
        </w:tabs>
        <w:jc w:val="center"/>
        <w:rPr>
          <w:rFonts w:ascii="Arial" w:eastAsia="ヒラギノ角ゴ Pro W3" w:hAnsi="Arial" w:cs="Arial"/>
          <w:b/>
          <w:bCs/>
          <w:sz w:val="20"/>
          <w:szCs w:val="20"/>
        </w:rPr>
      </w:pPr>
    </w:p>
    <w:p w:rsidR="009A56DF" w:rsidRPr="00A3339C" w:rsidRDefault="009A56DF" w:rsidP="000377B7">
      <w:pPr>
        <w:jc w:val="center"/>
        <w:rPr>
          <w:rFonts w:ascii="Arial" w:hAnsi="Arial" w:cs="Arial"/>
          <w:sz w:val="20"/>
          <w:szCs w:val="20"/>
        </w:rPr>
      </w:pPr>
      <w:r w:rsidRPr="00A3339C">
        <w:rPr>
          <w:rFonts w:ascii="Arial" w:hAnsi="Arial" w:cs="Arial"/>
          <w:sz w:val="20"/>
          <w:szCs w:val="20"/>
        </w:rPr>
        <w:t>zusammengestellt von Rechtsanwalt/Fachanwalt für Arbeitsrecht u. Fachanwalt für Erbrecht</w:t>
      </w:r>
    </w:p>
    <w:p w:rsidR="009A56DF" w:rsidRPr="00A3339C" w:rsidRDefault="009A56DF" w:rsidP="000377B7">
      <w:pPr>
        <w:jc w:val="center"/>
        <w:rPr>
          <w:rFonts w:ascii="Arial" w:hAnsi="Arial" w:cs="Arial"/>
          <w:sz w:val="20"/>
          <w:szCs w:val="20"/>
        </w:rPr>
      </w:pPr>
      <w:r w:rsidRPr="00A3339C">
        <w:rPr>
          <w:rFonts w:ascii="Arial" w:hAnsi="Arial" w:cs="Arial"/>
          <w:sz w:val="20"/>
          <w:szCs w:val="20"/>
        </w:rPr>
        <w:t>Michael Henn, Stuttgart</w:t>
      </w:r>
    </w:p>
    <w:p w:rsidR="00186D3F" w:rsidRPr="00A3339C" w:rsidRDefault="00186D3F" w:rsidP="000377B7">
      <w:pPr>
        <w:rPr>
          <w:rFonts w:ascii="Arial" w:eastAsia="Calibri" w:hAnsi="Arial" w:cs="Arial"/>
          <w:bCs/>
          <w:sz w:val="20"/>
          <w:szCs w:val="20"/>
          <w:lang w:eastAsia="de-DE"/>
        </w:rPr>
      </w:pPr>
    </w:p>
    <w:p w:rsidR="00082A90" w:rsidRPr="00A3339C" w:rsidRDefault="00082A90" w:rsidP="000377B7">
      <w:pPr>
        <w:keepNext/>
        <w:ind w:hanging="720"/>
        <w:jc w:val="center"/>
        <w:rPr>
          <w:rFonts w:ascii="Arial" w:hAnsi="Arial" w:cs="Arial"/>
          <w:b/>
        </w:rPr>
      </w:pPr>
      <w:r w:rsidRPr="00A3339C">
        <w:rPr>
          <w:rFonts w:ascii="Arial" w:hAnsi="Arial" w:cs="Arial"/>
          <w:b/>
        </w:rPr>
        <w:t>I.</w:t>
      </w:r>
    </w:p>
    <w:p w:rsidR="00A3339C" w:rsidRDefault="00082A90" w:rsidP="000377B7">
      <w:pPr>
        <w:jc w:val="center"/>
        <w:rPr>
          <w:rFonts w:ascii="Arial" w:hAnsi="Arial" w:cs="Arial"/>
          <w:b/>
          <w:bCs/>
          <w:sz w:val="20"/>
          <w:szCs w:val="20"/>
        </w:rPr>
      </w:pPr>
      <w:r w:rsidRPr="00A3339C">
        <w:rPr>
          <w:rFonts w:ascii="Arial" w:hAnsi="Arial" w:cs="Arial"/>
          <w:b/>
          <w:bCs/>
        </w:rPr>
        <w:t>Europäischer Gerichtshof (EuGH</w:t>
      </w:r>
      <w:r w:rsidRPr="00A3339C">
        <w:rPr>
          <w:rFonts w:ascii="Arial" w:hAnsi="Arial" w:cs="Arial"/>
          <w:b/>
          <w:bCs/>
          <w:sz w:val="20"/>
          <w:szCs w:val="20"/>
        </w:rPr>
        <w:t>)</w:t>
      </w:r>
    </w:p>
    <w:p w:rsidR="00082A90" w:rsidRPr="00A3339C" w:rsidRDefault="00A3339C" w:rsidP="000377B7">
      <w:pPr>
        <w:jc w:val="center"/>
        <w:rPr>
          <w:rFonts w:ascii="Arial" w:hAnsi="Arial" w:cs="Arial"/>
        </w:rPr>
      </w:pPr>
      <w:r w:rsidRPr="00A3339C">
        <w:rPr>
          <w:rFonts w:ascii="Arial" w:hAnsi="Arial" w:cs="Arial"/>
          <w:bCs/>
          <w:sz w:val="20"/>
          <w:szCs w:val="20"/>
        </w:rPr>
        <w:t xml:space="preserve"> </w:t>
      </w:r>
      <w:r w:rsidR="00082A90" w:rsidRPr="00A3339C">
        <w:rPr>
          <w:rFonts w:ascii="Arial" w:hAnsi="Arial" w:cs="Arial"/>
          <w:bCs/>
        </w:rPr>
        <w:t>Urteil des Gerichtshofs in der Rechtssache C-284/23 | Haus Jacobus</w:t>
      </w:r>
    </w:p>
    <w:p w:rsidR="00A3339C" w:rsidRDefault="00A3339C" w:rsidP="000377B7">
      <w:pPr>
        <w:jc w:val="both"/>
        <w:rPr>
          <w:rFonts w:ascii="Arial" w:hAnsi="Arial" w:cs="Arial"/>
          <w:b/>
          <w:bCs/>
          <w:sz w:val="20"/>
          <w:szCs w:val="20"/>
          <w:u w:val="single"/>
        </w:rPr>
      </w:pPr>
    </w:p>
    <w:p w:rsidR="00082A90" w:rsidRPr="00A3339C" w:rsidRDefault="00082A90" w:rsidP="000377B7">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0377B7">
      <w:pPr>
        <w:jc w:val="both"/>
        <w:rPr>
          <w:rFonts w:ascii="Arial" w:hAnsi="Arial" w:cs="Arial"/>
          <w:sz w:val="20"/>
          <w:szCs w:val="20"/>
        </w:rPr>
      </w:pPr>
      <w:r w:rsidRPr="00A3339C">
        <w:rPr>
          <w:rFonts w:ascii="Arial" w:hAnsi="Arial" w:cs="Arial"/>
          <w:b/>
          <w:bCs/>
          <w:sz w:val="20"/>
          <w:szCs w:val="20"/>
        </w:rPr>
        <w:t>Einer schwangeren Arbeitnehmerin muss eine angemessene Frist eingeräumt werden, um ihre Kündigung vor Gericht anfechten zu können</w:t>
      </w:r>
    </w:p>
    <w:p w:rsidR="00082A90" w:rsidRPr="00A3339C" w:rsidRDefault="00082A90" w:rsidP="000377B7">
      <w:pPr>
        <w:jc w:val="both"/>
        <w:rPr>
          <w:rFonts w:ascii="Arial" w:hAnsi="Arial" w:cs="Arial"/>
          <w:sz w:val="20"/>
          <w:szCs w:val="20"/>
        </w:rPr>
      </w:pPr>
      <w:r w:rsidRPr="00A3339C">
        <w:rPr>
          <w:rFonts w:ascii="Arial" w:hAnsi="Arial" w:cs="Arial"/>
          <w:b/>
          <w:bCs/>
          <w:sz w:val="20"/>
          <w:szCs w:val="20"/>
        </w:rPr>
        <w:t>Eine Frist von zwei Wochen für den Antrag auf Zulassung einer verspäteten Klage scheint zu kurz zu sein</w:t>
      </w:r>
    </w:p>
    <w:p w:rsidR="00A3339C" w:rsidRDefault="00A3339C" w:rsidP="000377B7">
      <w:pPr>
        <w:jc w:val="both"/>
        <w:rPr>
          <w:rFonts w:ascii="Arial" w:hAnsi="Arial" w:cs="Arial"/>
          <w:b/>
          <w:bCs/>
          <w:sz w:val="20"/>
          <w:szCs w:val="20"/>
          <w:u w:val="single"/>
        </w:rPr>
      </w:pPr>
    </w:p>
    <w:p w:rsidR="00082A90" w:rsidRPr="00A3339C" w:rsidRDefault="00082A90" w:rsidP="000377B7">
      <w:pPr>
        <w:jc w:val="both"/>
        <w:rPr>
          <w:rFonts w:ascii="Arial" w:hAnsi="Arial" w:cs="Arial"/>
          <w:sz w:val="20"/>
          <w:szCs w:val="20"/>
        </w:rPr>
      </w:pPr>
      <w:r w:rsidRPr="00A3339C">
        <w:rPr>
          <w:rFonts w:ascii="Arial" w:hAnsi="Arial" w:cs="Arial"/>
          <w:b/>
          <w:bCs/>
          <w:sz w:val="20"/>
          <w:szCs w:val="20"/>
          <w:u w:val="single"/>
        </w:rPr>
        <w:t>Volltext PE:</w:t>
      </w:r>
    </w:p>
    <w:p w:rsidR="00082A90" w:rsidRPr="00A3339C" w:rsidRDefault="00082A90" w:rsidP="000377B7">
      <w:pPr>
        <w:jc w:val="both"/>
        <w:rPr>
          <w:rFonts w:ascii="Arial" w:hAnsi="Arial" w:cs="Arial"/>
          <w:sz w:val="20"/>
          <w:szCs w:val="20"/>
        </w:rPr>
      </w:pPr>
      <w:r w:rsidRPr="00A3339C">
        <w:rPr>
          <w:rFonts w:ascii="Arial" w:hAnsi="Arial" w:cs="Arial"/>
          <w:sz w:val="20"/>
          <w:szCs w:val="20"/>
        </w:rPr>
        <w:t>Eine Angestellte eines Pflegeheims ficht ihre Kündigung vor einem deutschen Arbeitsgericht an. Sie beruft sich auf das Verbot, einer Schwangeren zu kündigen. Das Arbeitsgericht ist der Auffassung, dass es die Klage normalerweise als verspätet abweisen müsse.</w:t>
      </w:r>
    </w:p>
    <w:p w:rsidR="00A3339C" w:rsidRDefault="00A3339C" w:rsidP="000377B7">
      <w:pPr>
        <w:jc w:val="both"/>
        <w:rPr>
          <w:rFonts w:ascii="Arial" w:hAnsi="Arial" w:cs="Arial"/>
          <w:sz w:val="20"/>
          <w:szCs w:val="20"/>
        </w:rPr>
      </w:pPr>
    </w:p>
    <w:p w:rsidR="00082A90" w:rsidRPr="00A3339C" w:rsidRDefault="00082A90" w:rsidP="000377B7">
      <w:pPr>
        <w:jc w:val="both"/>
        <w:rPr>
          <w:rFonts w:ascii="Arial" w:hAnsi="Arial" w:cs="Arial"/>
          <w:sz w:val="20"/>
          <w:szCs w:val="20"/>
        </w:rPr>
      </w:pPr>
      <w:r w:rsidRPr="00A3339C">
        <w:rPr>
          <w:rFonts w:ascii="Arial" w:hAnsi="Arial" w:cs="Arial"/>
          <w:sz w:val="20"/>
          <w:szCs w:val="20"/>
        </w:rPr>
        <w:t>Als die Arbeitnehmerin von ihrer Schwangerschaft Kenntnis erlangt und die Klage erhoben habe, sei nämlich die im deutschen Recht vorgesehene ordentliche Frist – drei Wochen nach Zugang der schriftlichen Kündigung – bereits verstrichen gewesen. Überdies habe die Arbeitnehmerin es versäumt, innerhalb der im deutschen Recht vorgesehenen weiteren Frist von zwei Wochen einen Antrag auf Zulassung der verspäteten Klage zu stellen.</w:t>
      </w:r>
    </w:p>
    <w:p w:rsidR="00A3339C" w:rsidRDefault="00A3339C" w:rsidP="000377B7">
      <w:pPr>
        <w:jc w:val="both"/>
        <w:rPr>
          <w:rFonts w:ascii="Arial" w:hAnsi="Arial" w:cs="Arial"/>
          <w:sz w:val="20"/>
          <w:szCs w:val="20"/>
        </w:rPr>
      </w:pPr>
    </w:p>
    <w:p w:rsidR="00082A90" w:rsidRPr="00A3339C" w:rsidRDefault="00082A90" w:rsidP="000377B7">
      <w:pPr>
        <w:jc w:val="both"/>
        <w:rPr>
          <w:rFonts w:ascii="Arial" w:hAnsi="Arial" w:cs="Arial"/>
          <w:sz w:val="20"/>
          <w:szCs w:val="20"/>
        </w:rPr>
      </w:pPr>
      <w:r w:rsidRPr="00A3339C">
        <w:rPr>
          <w:rFonts w:ascii="Arial" w:hAnsi="Arial" w:cs="Arial"/>
          <w:sz w:val="20"/>
          <w:szCs w:val="20"/>
        </w:rPr>
        <w:t>Das Arbeitsgericht fragt sich jedoch, ob die in Rede stehende deutsche Regelung mit der Richtlinie über schwangere Arbeitnehmerinnen vereinbar ist. Es hat daher den Gerichtshof dazu befragt.</w:t>
      </w:r>
    </w:p>
    <w:p w:rsidR="00A3339C" w:rsidRDefault="00A3339C" w:rsidP="000377B7">
      <w:pPr>
        <w:jc w:val="both"/>
        <w:rPr>
          <w:rFonts w:ascii="Arial" w:hAnsi="Arial" w:cs="Arial"/>
          <w:sz w:val="20"/>
          <w:szCs w:val="20"/>
        </w:rPr>
      </w:pPr>
    </w:p>
    <w:p w:rsidR="00082A90" w:rsidRPr="00A3339C" w:rsidRDefault="00082A90" w:rsidP="000377B7">
      <w:pPr>
        <w:jc w:val="both"/>
        <w:rPr>
          <w:rFonts w:ascii="Arial" w:hAnsi="Arial" w:cs="Arial"/>
          <w:sz w:val="20"/>
          <w:szCs w:val="20"/>
        </w:rPr>
      </w:pPr>
      <w:r w:rsidRPr="00A3339C">
        <w:rPr>
          <w:rFonts w:ascii="Arial" w:hAnsi="Arial" w:cs="Arial"/>
          <w:sz w:val="20"/>
          <w:szCs w:val="20"/>
        </w:rPr>
        <w:t>Der Gerichtshof stellt fest, dass nach der deutschen Regelung eine schwangere Arbeitnehmerin, die zum Zeitpunkt ihrer Kündigung Kenntnis von ihrer Schwangerschaft hat, über eine Frist von drei Wochen verfügt, um eine Klage zu erheben.</w:t>
      </w:r>
    </w:p>
    <w:p w:rsidR="00A3339C" w:rsidRDefault="00A3339C" w:rsidP="000377B7">
      <w:pPr>
        <w:jc w:val="both"/>
        <w:rPr>
          <w:rFonts w:ascii="Arial" w:hAnsi="Arial" w:cs="Arial"/>
          <w:sz w:val="20"/>
          <w:szCs w:val="20"/>
        </w:rPr>
      </w:pPr>
    </w:p>
    <w:p w:rsidR="00082A90" w:rsidRPr="00A3339C" w:rsidRDefault="00082A90" w:rsidP="000377B7">
      <w:pPr>
        <w:jc w:val="both"/>
        <w:rPr>
          <w:rFonts w:ascii="Arial" w:hAnsi="Arial" w:cs="Arial"/>
          <w:sz w:val="20"/>
          <w:szCs w:val="20"/>
        </w:rPr>
      </w:pPr>
      <w:r w:rsidRPr="00A3339C">
        <w:rPr>
          <w:rFonts w:ascii="Arial" w:hAnsi="Arial" w:cs="Arial"/>
          <w:sz w:val="20"/>
          <w:szCs w:val="20"/>
        </w:rPr>
        <w:t>Dagegen verfügt eine Arbeitnehmerin, die aus einem von ihr nicht zu vertretenden Grund vor Verstreichen dieser Frist keine Kenntnis von ihrer Schwangerschaft hat, nur über zwei Wochen, um zu beantragen, eine solche Klage erheben zu können.</w:t>
      </w:r>
    </w:p>
    <w:p w:rsidR="00A3339C" w:rsidRDefault="00A3339C" w:rsidP="000377B7">
      <w:pPr>
        <w:jc w:val="both"/>
        <w:rPr>
          <w:rFonts w:ascii="Arial" w:hAnsi="Arial" w:cs="Arial"/>
          <w:sz w:val="20"/>
          <w:szCs w:val="20"/>
        </w:rPr>
      </w:pPr>
    </w:p>
    <w:p w:rsidR="00082A90" w:rsidRPr="00A3339C" w:rsidRDefault="00082A90" w:rsidP="000377B7">
      <w:pPr>
        <w:jc w:val="both"/>
        <w:rPr>
          <w:rFonts w:ascii="Arial" w:hAnsi="Arial" w:cs="Arial"/>
          <w:sz w:val="20"/>
          <w:szCs w:val="20"/>
        </w:rPr>
      </w:pPr>
      <w:r w:rsidRPr="00A3339C">
        <w:rPr>
          <w:rFonts w:ascii="Arial" w:hAnsi="Arial" w:cs="Arial"/>
          <w:sz w:val="20"/>
          <w:szCs w:val="20"/>
        </w:rPr>
        <w:t>Nach Auffassung des Gerichtshofs scheint eine so kurze Frist, insbesondere verglichen mit der ordentlichen Frist von drei Wochen, mit der Richtlinie unvereinbar zu sein. In Anbetracht der Situation, in der sich eine Frau zu Beginn ihrer Schwangerschaft befindet, scheint diese kurze Frist nämlich dazu angetan, es der schwangeren Arbeitnehmerin sehr zu erschweren, sich sachgerecht beraten zu lassen und gegebenenfalls einen Antrag auf Zulassung der verspäteten Klage sowie die eigentliche Klage abzufassen und einzureichen.</w:t>
      </w:r>
    </w:p>
    <w:p w:rsidR="00A3339C" w:rsidRDefault="00A3339C" w:rsidP="000377B7">
      <w:pPr>
        <w:jc w:val="both"/>
        <w:rPr>
          <w:rFonts w:ascii="Arial" w:hAnsi="Arial" w:cs="Arial"/>
          <w:sz w:val="20"/>
          <w:szCs w:val="20"/>
        </w:rPr>
      </w:pPr>
    </w:p>
    <w:p w:rsidR="00082A90" w:rsidRPr="00A3339C" w:rsidRDefault="00082A90" w:rsidP="000377B7">
      <w:pPr>
        <w:jc w:val="both"/>
        <w:rPr>
          <w:rFonts w:ascii="Arial" w:hAnsi="Arial" w:cs="Arial"/>
          <w:sz w:val="20"/>
          <w:szCs w:val="20"/>
        </w:rPr>
      </w:pPr>
      <w:r w:rsidRPr="00A3339C">
        <w:rPr>
          <w:rFonts w:ascii="Arial" w:hAnsi="Arial" w:cs="Arial"/>
          <w:sz w:val="20"/>
          <w:szCs w:val="20"/>
        </w:rPr>
        <w:t>Es ist jedoch Sache des Arbeitsgerichts, zu prüfen, ob dies tatsächlich der Fall ist.</w:t>
      </w:r>
    </w:p>
    <w:p w:rsidR="00A3339C" w:rsidRDefault="00A3339C" w:rsidP="000377B7">
      <w:pPr>
        <w:jc w:val="both"/>
        <w:rPr>
          <w:rFonts w:ascii="Arial" w:hAnsi="Arial" w:cs="Arial"/>
          <w:b/>
          <w:bCs/>
          <w:sz w:val="20"/>
          <w:szCs w:val="20"/>
          <w:u w:val="single"/>
        </w:rPr>
      </w:pPr>
    </w:p>
    <w:p w:rsidR="00082A90" w:rsidRPr="00A3339C" w:rsidRDefault="00082A90" w:rsidP="000377B7">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0377B7">
      <w:pPr>
        <w:jc w:val="both"/>
        <w:rPr>
          <w:rFonts w:ascii="Arial" w:hAnsi="Arial" w:cs="Arial"/>
          <w:sz w:val="20"/>
          <w:szCs w:val="20"/>
        </w:rPr>
      </w:pPr>
      <w:hyperlink r:id="rId8" w:tgtFrame="_blank" w:history="1">
        <w:r w:rsidR="00082A90" w:rsidRPr="00A3339C">
          <w:rPr>
            <w:rStyle w:val="Hyperlink"/>
            <w:rFonts w:ascii="Arial" w:hAnsi="Arial" w:cs="Arial"/>
            <w:color w:val="auto"/>
            <w:sz w:val="20"/>
            <w:szCs w:val="20"/>
          </w:rPr>
          <w:t>https://curia.europa.eu/jcms/upload/docs/application/pdf/2024-06/cp240108de.pdf</w:t>
        </w:r>
      </w:hyperlink>
    </w:p>
    <w:p w:rsidR="00A3339C" w:rsidRDefault="00A3339C" w:rsidP="000377B7">
      <w:pPr>
        <w:keepNext/>
        <w:jc w:val="both"/>
        <w:rPr>
          <w:rFonts w:ascii="Arial" w:hAnsi="Arial" w:cs="Arial"/>
          <w:sz w:val="20"/>
          <w:szCs w:val="20"/>
        </w:rPr>
      </w:pPr>
    </w:p>
    <w:p w:rsidR="00082A90" w:rsidRPr="00A3339C" w:rsidRDefault="00082A90" w:rsidP="00314ACB">
      <w:pPr>
        <w:keepNext/>
        <w:ind w:hanging="720"/>
        <w:jc w:val="center"/>
        <w:rPr>
          <w:rFonts w:ascii="Arial" w:hAnsi="Arial" w:cs="Arial"/>
          <w:b/>
        </w:rPr>
      </w:pPr>
      <w:r w:rsidRPr="00A3339C">
        <w:rPr>
          <w:rFonts w:ascii="Arial" w:hAnsi="Arial" w:cs="Arial"/>
          <w:b/>
        </w:rPr>
        <w:t>II.</w:t>
      </w:r>
    </w:p>
    <w:p w:rsidR="00A3339C" w:rsidRPr="00A3339C" w:rsidRDefault="00082A90" w:rsidP="00314ACB">
      <w:pPr>
        <w:jc w:val="center"/>
        <w:rPr>
          <w:rFonts w:ascii="Arial" w:hAnsi="Arial" w:cs="Arial"/>
          <w:b/>
          <w:bCs/>
        </w:rPr>
      </w:pPr>
      <w:r w:rsidRPr="00A3339C">
        <w:rPr>
          <w:rFonts w:ascii="Arial" w:hAnsi="Arial" w:cs="Arial"/>
          <w:b/>
          <w:bCs/>
        </w:rPr>
        <w:t>Bundesverfassungsgericht</w:t>
      </w:r>
    </w:p>
    <w:p w:rsidR="00082A90" w:rsidRPr="00A3339C" w:rsidRDefault="00082A90" w:rsidP="00314ACB">
      <w:pPr>
        <w:jc w:val="center"/>
        <w:rPr>
          <w:rFonts w:ascii="Arial" w:hAnsi="Arial" w:cs="Arial"/>
        </w:rPr>
      </w:pPr>
      <w:r w:rsidRPr="00A3339C">
        <w:rPr>
          <w:rFonts w:ascii="Arial" w:hAnsi="Arial" w:cs="Arial"/>
          <w:bCs/>
        </w:rPr>
        <w:t>Pressemitteilung Nr. 60/2024 vom 18. Juli 2024</w:t>
      </w:r>
    </w:p>
    <w:p w:rsidR="0022484A" w:rsidRDefault="00082A90" w:rsidP="00314ACB">
      <w:pPr>
        <w:jc w:val="center"/>
        <w:rPr>
          <w:rFonts w:ascii="Arial" w:hAnsi="Arial" w:cs="Arial"/>
          <w:b/>
          <w:bCs/>
          <w:sz w:val="20"/>
          <w:szCs w:val="20"/>
        </w:rPr>
      </w:pPr>
      <w:r w:rsidRPr="00A3339C">
        <w:rPr>
          <w:rFonts w:ascii="Arial" w:hAnsi="Arial" w:cs="Arial"/>
          <w:b/>
          <w:bCs/>
          <w:sz w:val="20"/>
          <w:szCs w:val="20"/>
        </w:rPr>
        <w:t>Beschluss vom 02. Juli 2024, Beschluss vom 02. Juli 2024</w:t>
      </w:r>
    </w:p>
    <w:p w:rsidR="00A3339C" w:rsidRDefault="007802B2" w:rsidP="00314ACB">
      <w:pPr>
        <w:jc w:val="center"/>
        <w:rPr>
          <w:rStyle w:val="Hyperlink"/>
          <w:rFonts w:ascii="Arial" w:hAnsi="Arial" w:cs="Arial"/>
          <w:b/>
          <w:bCs/>
          <w:color w:val="auto"/>
          <w:sz w:val="20"/>
          <w:szCs w:val="20"/>
        </w:rPr>
      </w:pPr>
      <w:hyperlink r:id="rId9" w:tgtFrame="_blank" w:history="1">
        <w:r w:rsidR="00082A90" w:rsidRPr="00A3339C">
          <w:rPr>
            <w:rStyle w:val="Hyperlink"/>
            <w:rFonts w:ascii="Arial" w:hAnsi="Arial" w:cs="Arial"/>
            <w:b/>
            <w:bCs/>
            <w:color w:val="auto"/>
            <w:sz w:val="20"/>
            <w:szCs w:val="20"/>
          </w:rPr>
          <w:t>1 BvR 2244/23</w:t>
        </w:r>
      </w:hyperlink>
    </w:p>
    <w:p w:rsidR="00082A90" w:rsidRPr="00A3339C" w:rsidRDefault="007802B2" w:rsidP="00314ACB">
      <w:pPr>
        <w:jc w:val="center"/>
        <w:rPr>
          <w:rFonts w:ascii="Arial" w:hAnsi="Arial" w:cs="Arial"/>
          <w:sz w:val="20"/>
          <w:szCs w:val="20"/>
        </w:rPr>
      </w:pPr>
      <w:hyperlink r:id="rId10" w:tgtFrame="_blank" w:history="1">
        <w:r w:rsidR="00082A90" w:rsidRPr="00A3339C">
          <w:rPr>
            <w:rStyle w:val="Hyperlink"/>
            <w:rFonts w:ascii="Arial" w:hAnsi="Arial" w:cs="Arial"/>
            <w:b/>
            <w:bCs/>
            <w:color w:val="auto"/>
            <w:sz w:val="20"/>
            <w:szCs w:val="20"/>
          </w:rPr>
          <w:t>1 BvR 2231/23</w:t>
        </w:r>
      </w:hyperlink>
    </w:p>
    <w:p w:rsidR="0022484A" w:rsidRDefault="0022484A" w:rsidP="00314ACB">
      <w:pPr>
        <w:jc w:val="center"/>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lastRenderedPageBreak/>
        <w:t>Schlagworte/Normen:</w:t>
      </w:r>
    </w:p>
    <w:p w:rsidR="00082A90" w:rsidRPr="00A3339C" w:rsidRDefault="00082A90" w:rsidP="00314ACB">
      <w:pPr>
        <w:jc w:val="both"/>
        <w:rPr>
          <w:rFonts w:ascii="Arial" w:hAnsi="Arial" w:cs="Arial"/>
          <w:sz w:val="20"/>
          <w:szCs w:val="20"/>
        </w:rPr>
      </w:pPr>
      <w:r w:rsidRPr="00A3339C">
        <w:rPr>
          <w:rFonts w:ascii="Arial" w:hAnsi="Arial" w:cs="Arial"/>
          <w:b/>
          <w:bCs/>
          <w:sz w:val="20"/>
          <w:szCs w:val="20"/>
        </w:rPr>
        <w:t>Erfolglose Verfassungsbeschwerden gegen zwei arbeitsgerichtliche Verurteilungen zur Zahlung des gesetzlichen Mindestlohns für die Mitarbeit in einem Yoga- und Meditationszentrum</w:t>
      </w:r>
    </w:p>
    <w:p w:rsidR="0022484A" w:rsidRDefault="0022484A"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Volltext PE:</w:t>
      </w:r>
    </w:p>
    <w:p w:rsidR="00082A90" w:rsidRPr="00A3339C" w:rsidRDefault="00082A90" w:rsidP="00314ACB">
      <w:pPr>
        <w:jc w:val="both"/>
        <w:rPr>
          <w:rFonts w:ascii="Arial" w:hAnsi="Arial" w:cs="Arial"/>
          <w:sz w:val="20"/>
          <w:szCs w:val="20"/>
        </w:rPr>
      </w:pPr>
      <w:r w:rsidRPr="00A3339C">
        <w:rPr>
          <w:rFonts w:ascii="Arial" w:hAnsi="Arial" w:cs="Arial"/>
          <w:sz w:val="20"/>
          <w:szCs w:val="20"/>
        </w:rPr>
        <w:t>Mit heute veröffentlichten Beschlüssen hat die 3.</w:t>
      </w:r>
      <w:r w:rsidR="0022484A" w:rsidRPr="00A3339C">
        <w:rPr>
          <w:rFonts w:ascii="Arial" w:hAnsi="Arial" w:cs="Arial"/>
          <w:sz w:val="20"/>
          <w:szCs w:val="20"/>
        </w:rPr>
        <w:t xml:space="preserve"> </w:t>
      </w:r>
      <w:r w:rsidRPr="00A3339C">
        <w:rPr>
          <w:rFonts w:ascii="Arial" w:hAnsi="Arial" w:cs="Arial"/>
          <w:sz w:val="20"/>
          <w:szCs w:val="20"/>
        </w:rPr>
        <w:t xml:space="preserve">Kammer des Ersten Senats des Bundesverfassungsgerichts zwei Verfassungsbeschwerden nicht zur Entscheidung angenommen, die sich gegen zwei Urteile des Bundesarbeitsgerichts richten. Dieses hatte den </w:t>
      </w:r>
      <w:proofErr w:type="spellStart"/>
      <w:r w:rsidRPr="00A3339C">
        <w:rPr>
          <w:rFonts w:ascii="Arial" w:hAnsi="Arial" w:cs="Arial"/>
          <w:sz w:val="20"/>
          <w:szCs w:val="20"/>
        </w:rPr>
        <w:t>beschwerdeführenden</w:t>
      </w:r>
      <w:proofErr w:type="spellEnd"/>
      <w:r w:rsidRPr="00A3339C">
        <w:rPr>
          <w:rFonts w:ascii="Arial" w:hAnsi="Arial" w:cs="Arial"/>
          <w:sz w:val="20"/>
          <w:szCs w:val="20"/>
        </w:rPr>
        <w:t xml:space="preserve"> Verein zur Zahlung des gesetzlichen Mindestlohns an zwei ehemalige Vereinsmitglieder für deren Mitarbeit als </w:t>
      </w:r>
      <w:proofErr w:type="spellStart"/>
      <w:r w:rsidRPr="00A3339C">
        <w:rPr>
          <w:rFonts w:ascii="Arial" w:hAnsi="Arial" w:cs="Arial"/>
          <w:sz w:val="20"/>
          <w:szCs w:val="20"/>
        </w:rPr>
        <w:t>Sevaka</w:t>
      </w:r>
      <w:proofErr w:type="spellEnd"/>
      <w:r w:rsidRPr="00A3339C">
        <w:rPr>
          <w:rFonts w:ascii="Arial" w:hAnsi="Arial" w:cs="Arial"/>
          <w:sz w:val="20"/>
          <w:szCs w:val="20"/>
        </w:rPr>
        <w:t>-Mitglied im Yoga- und Meditationszentrum (Ashram) des Vereins verpflichtet.</w:t>
      </w:r>
    </w:p>
    <w:p w:rsidR="0022484A" w:rsidRDefault="0022484A" w:rsidP="00314ACB">
      <w:pPr>
        <w:jc w:val="both"/>
        <w:rPr>
          <w:rFonts w:ascii="Arial" w:hAnsi="Arial" w:cs="Arial"/>
          <w:sz w:val="20"/>
          <w:szCs w:val="20"/>
        </w:rPr>
      </w:pPr>
    </w:p>
    <w:p w:rsidR="00082A90" w:rsidRPr="00A3339C" w:rsidRDefault="00082A90" w:rsidP="00314ACB">
      <w:pPr>
        <w:jc w:val="both"/>
        <w:rPr>
          <w:rFonts w:ascii="Arial" w:hAnsi="Arial" w:cs="Arial"/>
          <w:sz w:val="20"/>
          <w:szCs w:val="20"/>
        </w:rPr>
      </w:pPr>
      <w:r w:rsidRPr="00A3339C">
        <w:rPr>
          <w:rFonts w:ascii="Arial" w:hAnsi="Arial" w:cs="Arial"/>
          <w:sz w:val="20"/>
          <w:szCs w:val="20"/>
        </w:rPr>
        <w:t>Die Verfassungsbeschwerden bleiben ohne Erfolg. Es kann offenbleiben, ob die Annahme des Bundesarbeitsgerichts, bei dem Beschwerdeführer handele es sich nicht um eine Religionsgemeinschaft, mit Art.</w:t>
      </w:r>
      <w:r w:rsidR="0022484A" w:rsidRPr="00A3339C">
        <w:rPr>
          <w:rFonts w:ascii="Arial" w:hAnsi="Arial" w:cs="Arial"/>
          <w:sz w:val="20"/>
          <w:szCs w:val="20"/>
        </w:rPr>
        <w:t xml:space="preserve"> </w:t>
      </w:r>
      <w:proofErr w:type="gramStart"/>
      <w:r w:rsidRPr="00A3339C">
        <w:rPr>
          <w:rFonts w:ascii="Arial" w:hAnsi="Arial" w:cs="Arial"/>
          <w:sz w:val="20"/>
          <w:szCs w:val="20"/>
        </w:rPr>
        <w:t xml:space="preserve">4 </w:t>
      </w:r>
      <w:r w:rsidR="0022484A">
        <w:rPr>
          <w:rFonts w:ascii="Arial" w:hAnsi="Arial" w:cs="Arial"/>
          <w:sz w:val="20"/>
          <w:szCs w:val="20"/>
        </w:rPr>
        <w:t xml:space="preserve"> </w:t>
      </w:r>
      <w:r w:rsidRPr="00A3339C">
        <w:rPr>
          <w:rFonts w:ascii="Arial" w:hAnsi="Arial" w:cs="Arial"/>
          <w:sz w:val="20"/>
          <w:szCs w:val="20"/>
        </w:rPr>
        <w:t>Abs.</w:t>
      </w:r>
      <w:proofErr w:type="gramEnd"/>
      <w:r w:rsidR="0022484A" w:rsidRPr="00A3339C">
        <w:rPr>
          <w:rFonts w:ascii="Arial" w:hAnsi="Arial" w:cs="Arial"/>
          <w:sz w:val="20"/>
          <w:szCs w:val="20"/>
        </w:rPr>
        <w:t xml:space="preserve"> </w:t>
      </w:r>
      <w:r w:rsidRPr="00A3339C">
        <w:rPr>
          <w:rFonts w:ascii="Arial" w:hAnsi="Arial" w:cs="Arial"/>
          <w:sz w:val="20"/>
          <w:szCs w:val="20"/>
        </w:rPr>
        <w:t>1 und 2 Grundgesetz vereinbar ist. Denn es ist weder dargelegt noch sonst ersichtlich, dass die von den Klägerinnen geleisteten Dienste der Aufrechterhaltung des Beherbergungs- und Seminarbetriebs des Vereins und des Vertriebs von Yoga-Produkten, um deren arbeitsrechtliche Beurteilung es hier geht, für sich genommen religiös geprägt waren.</w:t>
      </w:r>
    </w:p>
    <w:p w:rsidR="0022484A" w:rsidRDefault="0022484A"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314ACB">
      <w:pPr>
        <w:rPr>
          <w:rFonts w:ascii="Arial" w:hAnsi="Arial" w:cs="Arial"/>
          <w:sz w:val="20"/>
          <w:szCs w:val="20"/>
        </w:rPr>
      </w:pPr>
      <w:hyperlink r:id="rId11" w:tgtFrame="_blank" w:history="1">
        <w:r w:rsidR="00082A90" w:rsidRPr="00A3339C">
          <w:rPr>
            <w:rStyle w:val="Hyperlink"/>
            <w:rFonts w:ascii="Arial" w:hAnsi="Arial" w:cs="Arial"/>
            <w:color w:val="auto"/>
            <w:sz w:val="20"/>
            <w:szCs w:val="20"/>
          </w:rPr>
          <w:t>https://www.bundesverfassungsgericht.de/SharedDocs/Pressemitteilungen/DE/2024/bvg24-060.html</w:t>
        </w:r>
      </w:hyperlink>
    </w:p>
    <w:p w:rsidR="0022484A" w:rsidRPr="0022484A" w:rsidRDefault="0022484A" w:rsidP="00314ACB">
      <w:pPr>
        <w:keepNext/>
        <w:jc w:val="both"/>
        <w:rPr>
          <w:rFonts w:ascii="Arial" w:hAnsi="Arial" w:cs="Arial"/>
          <w:sz w:val="20"/>
          <w:szCs w:val="20"/>
        </w:rPr>
      </w:pPr>
    </w:p>
    <w:p w:rsidR="00082A90" w:rsidRPr="0022484A" w:rsidRDefault="00082A90" w:rsidP="00314ACB">
      <w:pPr>
        <w:pStyle w:val="Listenabsatz"/>
        <w:keepNext/>
        <w:ind w:left="0" w:hanging="720"/>
        <w:jc w:val="center"/>
        <w:rPr>
          <w:rFonts w:ascii="Arial" w:hAnsi="Arial" w:cs="Arial"/>
          <w:b/>
        </w:rPr>
      </w:pPr>
      <w:r w:rsidRPr="0022484A">
        <w:rPr>
          <w:rFonts w:ascii="Arial" w:hAnsi="Arial" w:cs="Arial"/>
          <w:b/>
        </w:rPr>
        <w:t>III.</w:t>
      </w:r>
    </w:p>
    <w:p w:rsidR="00082A90" w:rsidRPr="0022484A" w:rsidRDefault="00082A90" w:rsidP="00314ACB">
      <w:pPr>
        <w:jc w:val="center"/>
        <w:rPr>
          <w:rFonts w:ascii="Arial" w:hAnsi="Arial" w:cs="Arial"/>
        </w:rPr>
      </w:pPr>
      <w:r w:rsidRPr="0022484A">
        <w:rPr>
          <w:rFonts w:ascii="Arial" w:hAnsi="Arial" w:cs="Arial"/>
          <w:b/>
          <w:bCs/>
        </w:rPr>
        <w:t>Arbeitsgericht Mannheim</w:t>
      </w:r>
    </w:p>
    <w:p w:rsidR="00082A90" w:rsidRPr="0022484A" w:rsidRDefault="00082A90" w:rsidP="00314ACB">
      <w:pPr>
        <w:jc w:val="center"/>
        <w:rPr>
          <w:rFonts w:ascii="Arial" w:hAnsi="Arial" w:cs="Arial"/>
        </w:rPr>
      </w:pPr>
      <w:r w:rsidRPr="0022484A">
        <w:rPr>
          <w:rFonts w:ascii="Arial" w:hAnsi="Arial" w:cs="Arial"/>
          <w:bCs/>
        </w:rPr>
        <w:t>Urteil vom 26.06.2024 - 5 Ca 73/24</w:t>
      </w:r>
    </w:p>
    <w:p w:rsidR="0022484A" w:rsidRDefault="0022484A"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314ACB">
      <w:pPr>
        <w:jc w:val="both"/>
        <w:rPr>
          <w:rFonts w:ascii="Arial" w:hAnsi="Arial" w:cs="Arial"/>
          <w:sz w:val="20"/>
          <w:szCs w:val="20"/>
        </w:rPr>
      </w:pPr>
      <w:r w:rsidRPr="00A3339C">
        <w:rPr>
          <w:rFonts w:ascii="Arial" w:hAnsi="Arial" w:cs="Arial"/>
          <w:b/>
          <w:bCs/>
          <w:sz w:val="20"/>
          <w:szCs w:val="20"/>
        </w:rPr>
        <w:t>Schriftform einer Befristungsabrede - Auslegung - widersprüchliches Verhalten</w:t>
      </w: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Leitsätze:</w:t>
      </w:r>
    </w:p>
    <w:p w:rsidR="0022484A" w:rsidRPr="0022484A" w:rsidRDefault="00CE35D7" w:rsidP="00314ACB">
      <w:pPr>
        <w:jc w:val="both"/>
        <w:rPr>
          <w:rFonts w:ascii="Arial" w:hAnsi="Arial" w:cs="Arial"/>
          <w:sz w:val="20"/>
          <w:szCs w:val="20"/>
        </w:rPr>
      </w:pPr>
      <w:r>
        <w:rPr>
          <w:rFonts w:ascii="Arial" w:hAnsi="Arial" w:cs="Arial"/>
          <w:sz w:val="20"/>
          <w:szCs w:val="20"/>
        </w:rPr>
        <w:t>1.</w:t>
      </w:r>
      <w:r w:rsidR="00082A90" w:rsidRPr="0022484A">
        <w:rPr>
          <w:rFonts w:ascii="Arial" w:hAnsi="Arial" w:cs="Arial"/>
          <w:sz w:val="20"/>
          <w:szCs w:val="20"/>
        </w:rPr>
        <w:t>Die Befristungsabrede im Arbeitsvertrag bedarf der Angabe einer Befristungsdauer oder eines Endtermins. Wird die Befristung des Arbeitsverhältnisses nicht unmissverständlich geregelt, ist das Gewollte durch Auslegung zu ermitteln. Bei formbedürftigen Erklärungen ist allerdings nur der Wille beachtlich, der unter Wahrung der vorgeschriebenen Form erklärt worden ist. Entscheidend ist nicht der irgendwie geäußerte Parteiwille, sondern nur der formgerecht erklärte. Versehentlich weggelassene Abreden oder formunwirksam getroffene Nebenabreden können nicht im Wege der Auslegung zum Inhalt der Erklärung gemacht werden.</w:t>
      </w:r>
    </w:p>
    <w:p w:rsidR="00082A90" w:rsidRPr="0022484A" w:rsidRDefault="00CE35D7" w:rsidP="00314ACB">
      <w:pPr>
        <w:jc w:val="both"/>
        <w:rPr>
          <w:rFonts w:ascii="Arial" w:hAnsi="Arial" w:cs="Arial"/>
          <w:sz w:val="20"/>
          <w:szCs w:val="20"/>
        </w:rPr>
      </w:pPr>
      <w:r>
        <w:rPr>
          <w:rFonts w:ascii="Arial" w:hAnsi="Arial" w:cs="Arial"/>
          <w:sz w:val="20"/>
          <w:szCs w:val="20"/>
        </w:rPr>
        <w:t>2.</w:t>
      </w:r>
      <w:r w:rsidR="00082A90" w:rsidRPr="0022484A">
        <w:rPr>
          <w:rFonts w:ascii="Arial" w:hAnsi="Arial" w:cs="Arial"/>
          <w:sz w:val="20"/>
          <w:szCs w:val="20"/>
        </w:rPr>
        <w:t>Die Geltendmachung der Unwirksamkeit einer Befristungsabrede durch den Arbeitnehmer verstößt grundsätzlich nicht gegen Treu und Glauben nach §</w:t>
      </w:r>
      <w:r w:rsidR="0022484A" w:rsidRPr="0022484A">
        <w:rPr>
          <w:rFonts w:ascii="Arial" w:hAnsi="Arial" w:cs="Arial"/>
          <w:sz w:val="20"/>
          <w:szCs w:val="20"/>
        </w:rPr>
        <w:t xml:space="preserve"> </w:t>
      </w:r>
      <w:r w:rsidR="00082A90" w:rsidRPr="0022484A">
        <w:rPr>
          <w:rFonts w:ascii="Arial" w:hAnsi="Arial" w:cs="Arial"/>
          <w:sz w:val="20"/>
          <w:szCs w:val="20"/>
        </w:rPr>
        <w:t>242 BGB. Bei vertraglichen Befristungsabreden ist es regelmäßig erlaubt, sie auf ihre Zulässigkeit zu überprüfen; dies folgt unmittelbar aus §</w:t>
      </w:r>
      <w:r w:rsidR="0022484A" w:rsidRPr="0022484A">
        <w:rPr>
          <w:rFonts w:ascii="Arial" w:hAnsi="Arial" w:cs="Arial"/>
          <w:sz w:val="20"/>
          <w:szCs w:val="20"/>
        </w:rPr>
        <w:t xml:space="preserve"> </w:t>
      </w:r>
      <w:r w:rsidR="00082A90" w:rsidRPr="0022484A">
        <w:rPr>
          <w:rFonts w:ascii="Arial" w:hAnsi="Arial" w:cs="Arial"/>
          <w:sz w:val="20"/>
          <w:szCs w:val="20"/>
        </w:rPr>
        <w:t>17 TzBfG. Vertragsschluss und Klage sind nicht widersprüchlich im Sinne eines Verstoßes gegen Treu und Glauben nach §</w:t>
      </w:r>
      <w:r w:rsidR="0022484A" w:rsidRPr="0022484A">
        <w:rPr>
          <w:rFonts w:ascii="Arial" w:hAnsi="Arial" w:cs="Arial"/>
          <w:sz w:val="20"/>
          <w:szCs w:val="20"/>
        </w:rPr>
        <w:t xml:space="preserve"> </w:t>
      </w:r>
      <w:r w:rsidR="00082A90" w:rsidRPr="0022484A">
        <w:rPr>
          <w:rFonts w:ascii="Arial" w:hAnsi="Arial" w:cs="Arial"/>
          <w:sz w:val="20"/>
          <w:szCs w:val="20"/>
        </w:rPr>
        <w:t>242 BGB. Die Beteiligung des Arbeitnehmers als solche an der Vereinbarung einer wegen Formnichtigkeit unwirksamen Befristungsabrede stellt keinen Grund dar, die Formnichtigkeit außer Acht zu lassen.</w:t>
      </w:r>
    </w:p>
    <w:p w:rsidR="0022484A" w:rsidRDefault="0022484A"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314ACB">
      <w:pPr>
        <w:jc w:val="both"/>
        <w:rPr>
          <w:rFonts w:ascii="Arial" w:hAnsi="Arial" w:cs="Arial"/>
          <w:sz w:val="20"/>
          <w:szCs w:val="20"/>
        </w:rPr>
      </w:pPr>
      <w:hyperlink r:id="rId12" w:tgtFrame="_blank" w:history="1">
        <w:r w:rsidR="00082A90" w:rsidRPr="00A3339C">
          <w:rPr>
            <w:rStyle w:val="Hyperlink"/>
            <w:rFonts w:ascii="Arial" w:hAnsi="Arial" w:cs="Arial"/>
            <w:color w:val="auto"/>
            <w:sz w:val="20"/>
            <w:szCs w:val="20"/>
          </w:rPr>
          <w:t>https://www.landesrecht-bw.de/bsbw/document/NJRE001580653</w:t>
        </w:r>
      </w:hyperlink>
    </w:p>
    <w:p w:rsidR="00CE35D7" w:rsidRPr="00CE35D7" w:rsidRDefault="00CE35D7" w:rsidP="00314ACB">
      <w:pPr>
        <w:keepNext/>
        <w:jc w:val="both"/>
        <w:rPr>
          <w:rFonts w:ascii="Arial" w:hAnsi="Arial" w:cs="Arial"/>
          <w:sz w:val="20"/>
          <w:szCs w:val="20"/>
        </w:rPr>
      </w:pPr>
    </w:p>
    <w:p w:rsidR="00082A90" w:rsidRPr="00CE35D7" w:rsidRDefault="00082A90" w:rsidP="00314ACB">
      <w:pPr>
        <w:pStyle w:val="Listenabsatz"/>
        <w:keepNext/>
        <w:ind w:left="0" w:hanging="720"/>
        <w:jc w:val="center"/>
        <w:rPr>
          <w:rFonts w:ascii="Arial" w:hAnsi="Arial" w:cs="Arial"/>
          <w:b/>
        </w:rPr>
      </w:pPr>
      <w:r w:rsidRPr="00CE35D7">
        <w:rPr>
          <w:rFonts w:ascii="Arial" w:hAnsi="Arial" w:cs="Arial"/>
          <w:b/>
        </w:rPr>
        <w:t>IV.</w:t>
      </w:r>
    </w:p>
    <w:p w:rsidR="00082A90" w:rsidRPr="00CE35D7" w:rsidRDefault="00082A90" w:rsidP="00314ACB">
      <w:pPr>
        <w:jc w:val="center"/>
        <w:rPr>
          <w:rFonts w:ascii="Arial" w:hAnsi="Arial" w:cs="Arial"/>
        </w:rPr>
      </w:pPr>
      <w:r w:rsidRPr="00CE35D7">
        <w:rPr>
          <w:rFonts w:ascii="Arial" w:hAnsi="Arial" w:cs="Arial"/>
          <w:b/>
          <w:bCs/>
        </w:rPr>
        <w:t>Landesarbeitsgericht Düsseldorf</w:t>
      </w:r>
    </w:p>
    <w:p w:rsidR="00082A90" w:rsidRPr="00CE35D7" w:rsidRDefault="00082A90" w:rsidP="00314ACB">
      <w:pPr>
        <w:jc w:val="center"/>
        <w:rPr>
          <w:rFonts w:ascii="Arial" w:hAnsi="Arial" w:cs="Arial"/>
        </w:rPr>
      </w:pPr>
      <w:r w:rsidRPr="00CE35D7">
        <w:rPr>
          <w:rFonts w:ascii="Arial" w:hAnsi="Arial" w:cs="Arial"/>
          <w:bCs/>
        </w:rPr>
        <w:t xml:space="preserve">Beschluss vom 20.06.2024 - 1 </w:t>
      </w:r>
      <w:proofErr w:type="spellStart"/>
      <w:r w:rsidRPr="00CE35D7">
        <w:rPr>
          <w:rFonts w:ascii="Arial" w:hAnsi="Arial" w:cs="Arial"/>
          <w:bCs/>
        </w:rPr>
        <w:t>SHa</w:t>
      </w:r>
      <w:proofErr w:type="spellEnd"/>
      <w:r w:rsidRPr="00CE35D7">
        <w:rPr>
          <w:rFonts w:ascii="Arial" w:hAnsi="Arial" w:cs="Arial"/>
          <w:bCs/>
        </w:rPr>
        <w:t xml:space="preserve"> 21/24</w:t>
      </w:r>
    </w:p>
    <w:p w:rsidR="00CE35D7" w:rsidRDefault="00CE35D7"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314ACB">
      <w:pPr>
        <w:jc w:val="both"/>
        <w:rPr>
          <w:rFonts w:ascii="Arial" w:hAnsi="Arial" w:cs="Arial"/>
          <w:sz w:val="20"/>
          <w:szCs w:val="20"/>
        </w:rPr>
      </w:pPr>
      <w:r w:rsidRPr="00A3339C">
        <w:rPr>
          <w:rFonts w:ascii="Arial" w:hAnsi="Arial" w:cs="Arial"/>
          <w:b/>
          <w:bCs/>
          <w:sz w:val="20"/>
          <w:szCs w:val="20"/>
        </w:rPr>
        <w:t>Flugbetrieb, örtliche Zuständigkeit in Beschlussverfahren, Bindungswirkung von Verweisungsbeschlüssen, durch Tarifvertrag gebildete besondere Arbeitnehmervertretung, Personalvertretung Cockpit</w:t>
      </w:r>
    </w:p>
    <w:p w:rsidR="00CE35D7" w:rsidRDefault="00CE35D7"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314ACB">
      <w:pPr>
        <w:jc w:val="both"/>
        <w:rPr>
          <w:rFonts w:ascii="Arial" w:hAnsi="Arial" w:cs="Arial"/>
          <w:sz w:val="20"/>
          <w:szCs w:val="20"/>
        </w:rPr>
      </w:pPr>
      <w:r w:rsidRPr="00A3339C">
        <w:rPr>
          <w:rFonts w:ascii="Arial" w:hAnsi="Arial" w:cs="Arial"/>
          <w:sz w:val="20"/>
          <w:szCs w:val="20"/>
        </w:rPr>
        <w:t xml:space="preserve">Die örtliche Zuständigkeit für Streitigkeiten einer im Flugbetrieb aufgrund von § 117 Abs. 2 Satz 1 BetrVG gewählten besonderen Arbeitnehmervertretung richtet sich entsprechend dem Sinn und Zweck des § 82 ArbGG danach, für welchen organisatorischen Bereich die Vertretung geschaffen wurde, ob </w:t>
      </w:r>
      <w:r w:rsidRPr="00A3339C">
        <w:rPr>
          <w:rFonts w:ascii="Arial" w:hAnsi="Arial" w:cs="Arial"/>
          <w:sz w:val="20"/>
          <w:szCs w:val="20"/>
        </w:rPr>
        <w:lastRenderedPageBreak/>
        <w:t>eine unternehmensweite Vertretung gebildet wurde für mehrere Basen oder eine Arbeitnehmervertretung nur für eine Basis. Im Fall einer für die gesamte Bundesrepublik Deutschland gebildeten Personalvertretung ist das Arbeitsgericht am Sitz des Unternehmens zuständig.</w:t>
      </w:r>
    </w:p>
    <w:p w:rsidR="00CE35D7" w:rsidRDefault="00CE35D7"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314ACB">
      <w:pPr>
        <w:jc w:val="both"/>
        <w:rPr>
          <w:rFonts w:ascii="Arial" w:hAnsi="Arial" w:cs="Arial"/>
          <w:sz w:val="20"/>
          <w:szCs w:val="20"/>
        </w:rPr>
      </w:pPr>
      <w:hyperlink r:id="rId13" w:tgtFrame="_blank" w:history="1">
        <w:r w:rsidR="00082A90" w:rsidRPr="00A3339C">
          <w:rPr>
            <w:rStyle w:val="Hyperlink"/>
            <w:rFonts w:ascii="Arial" w:hAnsi="Arial" w:cs="Arial"/>
            <w:color w:val="auto"/>
            <w:sz w:val="20"/>
            <w:szCs w:val="20"/>
          </w:rPr>
          <w:t>https://www.justiz.nrw/nrwe/arbgs/duesseldorf/lag_duesseldorf/j2024/NRWE_LAG_D_sseldorf_1_SHa_21_24_Beschluss_20240620.html</w:t>
        </w:r>
      </w:hyperlink>
    </w:p>
    <w:p w:rsidR="00CE35D7" w:rsidRPr="00CE35D7" w:rsidRDefault="00CE35D7" w:rsidP="00314ACB">
      <w:pPr>
        <w:keepNext/>
        <w:jc w:val="both"/>
        <w:rPr>
          <w:rFonts w:ascii="Arial" w:hAnsi="Arial" w:cs="Arial"/>
          <w:sz w:val="20"/>
          <w:szCs w:val="20"/>
        </w:rPr>
      </w:pPr>
    </w:p>
    <w:p w:rsidR="00082A90" w:rsidRPr="00CE35D7" w:rsidRDefault="00082A90" w:rsidP="00314ACB">
      <w:pPr>
        <w:pStyle w:val="Listenabsatz"/>
        <w:keepNext/>
        <w:ind w:left="0" w:hanging="720"/>
        <w:jc w:val="center"/>
        <w:rPr>
          <w:rFonts w:ascii="Arial" w:hAnsi="Arial" w:cs="Arial"/>
          <w:b/>
        </w:rPr>
      </w:pPr>
      <w:r w:rsidRPr="00CE35D7">
        <w:rPr>
          <w:rFonts w:ascii="Arial" w:hAnsi="Arial" w:cs="Arial"/>
          <w:b/>
        </w:rPr>
        <w:t>V.</w:t>
      </w:r>
    </w:p>
    <w:p w:rsidR="00082A90" w:rsidRPr="00CE35D7" w:rsidRDefault="00082A90" w:rsidP="00314ACB">
      <w:pPr>
        <w:jc w:val="center"/>
        <w:rPr>
          <w:rFonts w:ascii="Arial" w:hAnsi="Arial" w:cs="Arial"/>
          <w:b/>
        </w:rPr>
      </w:pPr>
      <w:r w:rsidRPr="00CE35D7">
        <w:rPr>
          <w:rFonts w:ascii="Arial" w:hAnsi="Arial" w:cs="Arial"/>
          <w:b/>
          <w:bCs/>
        </w:rPr>
        <w:t>Landesarbeitsgericht Düsseldorf</w:t>
      </w:r>
    </w:p>
    <w:p w:rsidR="00082A90" w:rsidRPr="00CE35D7" w:rsidRDefault="00082A90" w:rsidP="00314ACB">
      <w:pPr>
        <w:jc w:val="center"/>
        <w:rPr>
          <w:rFonts w:ascii="Arial" w:hAnsi="Arial" w:cs="Arial"/>
        </w:rPr>
      </w:pPr>
      <w:r w:rsidRPr="00CE35D7">
        <w:rPr>
          <w:rFonts w:ascii="Arial" w:hAnsi="Arial" w:cs="Arial"/>
          <w:bCs/>
        </w:rPr>
        <w:t>Beschluss vom 2.06.2024 - 3 Ta 51/24</w:t>
      </w:r>
    </w:p>
    <w:p w:rsidR="00CE35D7" w:rsidRDefault="00CE35D7"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314ACB">
      <w:pPr>
        <w:jc w:val="both"/>
        <w:rPr>
          <w:rFonts w:ascii="Arial" w:hAnsi="Arial" w:cs="Arial"/>
          <w:sz w:val="20"/>
          <w:szCs w:val="20"/>
        </w:rPr>
      </w:pPr>
      <w:r w:rsidRPr="00A3339C">
        <w:rPr>
          <w:rFonts w:ascii="Arial" w:hAnsi="Arial" w:cs="Arial"/>
          <w:b/>
          <w:bCs/>
          <w:sz w:val="20"/>
          <w:szCs w:val="20"/>
        </w:rPr>
        <w:t>Rechtsweg bei Abordnung und Abberufung einer Gleichstellungsbeauftragten</w:t>
      </w:r>
    </w:p>
    <w:p w:rsidR="00CE35D7" w:rsidRDefault="00CE35D7"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314ACB">
      <w:pPr>
        <w:jc w:val="both"/>
        <w:rPr>
          <w:rFonts w:ascii="Arial" w:hAnsi="Arial" w:cs="Arial"/>
          <w:sz w:val="20"/>
          <w:szCs w:val="20"/>
        </w:rPr>
      </w:pPr>
      <w:r w:rsidRPr="00A3339C">
        <w:rPr>
          <w:rFonts w:ascii="Arial" w:hAnsi="Arial" w:cs="Arial"/>
          <w:sz w:val="20"/>
          <w:szCs w:val="20"/>
        </w:rPr>
        <w:t xml:space="preserve">1.Erhebt eine Arbeitnehmerin im öffentlichen Dienst, der das Amt der Gleichstellungsbeauftragten nicht neben ihrer bisherigen Tätigkeit übertragen wurde, sondern im Wege der Umsetzung und entsprechenden Stellenzuweisung (bei gleichzeitiger Höhergruppierung), Klage gegen die Abordnung auf eine andere Stelle und gleichzeitige Abberufung aus dem Amt der Gleichstellungsbeauftragten, ist der Rechtsweg zu den Arbeitsgerichten eröffnet (Abgrenzung zu LAG Köln, Beschluss vom 07.07.2022 – 9 Ta 69/22). </w:t>
      </w:r>
    </w:p>
    <w:p w:rsidR="00CE35D7" w:rsidRDefault="00CE35D7" w:rsidP="00314ACB">
      <w:pPr>
        <w:jc w:val="both"/>
        <w:rPr>
          <w:rFonts w:ascii="Arial" w:hAnsi="Arial" w:cs="Arial"/>
          <w:sz w:val="20"/>
          <w:szCs w:val="20"/>
        </w:rPr>
      </w:pPr>
    </w:p>
    <w:p w:rsidR="00082A90" w:rsidRPr="00A3339C" w:rsidRDefault="00082A90" w:rsidP="00314ACB">
      <w:pPr>
        <w:jc w:val="both"/>
        <w:rPr>
          <w:rFonts w:ascii="Arial" w:hAnsi="Arial" w:cs="Arial"/>
          <w:sz w:val="20"/>
          <w:szCs w:val="20"/>
        </w:rPr>
      </w:pPr>
      <w:r w:rsidRPr="00A3339C">
        <w:rPr>
          <w:rFonts w:ascii="Arial" w:hAnsi="Arial" w:cs="Arial"/>
          <w:sz w:val="20"/>
          <w:szCs w:val="20"/>
        </w:rPr>
        <w:t xml:space="preserve">2. Es handelt sich um eine bürgerlich-rechtliche und keine öffentlich-rechtliche Streitigkeit, wenn die streitentscheidenden Normen mit §§ 106 GewO, 315 BGB jedenfalls auch solche des bürgerlichen Rechts sind. </w:t>
      </w:r>
    </w:p>
    <w:p w:rsidR="00CE35D7" w:rsidRDefault="00CE35D7" w:rsidP="00314ACB">
      <w:pPr>
        <w:jc w:val="both"/>
        <w:rPr>
          <w:rFonts w:ascii="Arial" w:hAnsi="Arial" w:cs="Arial"/>
          <w:sz w:val="20"/>
          <w:szCs w:val="20"/>
        </w:rPr>
      </w:pPr>
    </w:p>
    <w:p w:rsidR="00082A90" w:rsidRPr="00A3339C" w:rsidRDefault="00082A90" w:rsidP="00314ACB">
      <w:pPr>
        <w:jc w:val="both"/>
        <w:rPr>
          <w:rFonts w:ascii="Arial" w:hAnsi="Arial" w:cs="Arial"/>
          <w:sz w:val="20"/>
          <w:szCs w:val="20"/>
        </w:rPr>
      </w:pPr>
      <w:r w:rsidRPr="00A3339C">
        <w:rPr>
          <w:rFonts w:ascii="Arial" w:hAnsi="Arial" w:cs="Arial"/>
          <w:sz w:val="20"/>
          <w:szCs w:val="20"/>
        </w:rPr>
        <w:t>3. Mit der sich gegen die Abordnung und Abberufung richtenden Klage macht die Gleichstellungsbeauftragte keine Verletzung von Organrechten im Sinne von § 19a Abs. 1 LGG NRW geltend, sondern eine arbeitsrechtliche Überprüfung der entsprechenden Direktionsrechtsausübung und neuen Stellenzuweisung.</w:t>
      </w:r>
    </w:p>
    <w:p w:rsidR="00CE35D7" w:rsidRDefault="00CE35D7"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314ACB">
      <w:pPr>
        <w:rPr>
          <w:rFonts w:ascii="Arial" w:hAnsi="Arial" w:cs="Arial"/>
          <w:sz w:val="20"/>
          <w:szCs w:val="20"/>
        </w:rPr>
      </w:pPr>
      <w:hyperlink r:id="rId14" w:tgtFrame="_blank" w:history="1">
        <w:r w:rsidR="00082A90" w:rsidRPr="00A3339C">
          <w:rPr>
            <w:rStyle w:val="Hyperlink"/>
            <w:rFonts w:ascii="Arial" w:hAnsi="Arial" w:cs="Arial"/>
            <w:color w:val="auto"/>
            <w:sz w:val="20"/>
            <w:szCs w:val="20"/>
          </w:rPr>
          <w:t>https://www.justiz.nrw/nrwe/arbgs/duesseldorf/lag_duesseldorf/j2024/NRWE_LAG_D_sseldorf_3_Ta_51_24_Beschluss_20240628.html</w:t>
        </w:r>
      </w:hyperlink>
    </w:p>
    <w:p w:rsidR="00FF3443" w:rsidRPr="00FF3443" w:rsidRDefault="00FF3443" w:rsidP="00314ACB">
      <w:pPr>
        <w:keepNext/>
        <w:jc w:val="both"/>
        <w:rPr>
          <w:rFonts w:ascii="Arial" w:hAnsi="Arial" w:cs="Arial"/>
          <w:sz w:val="20"/>
          <w:szCs w:val="20"/>
        </w:rPr>
      </w:pPr>
    </w:p>
    <w:p w:rsidR="00082A90" w:rsidRPr="00FF3443" w:rsidRDefault="00082A90" w:rsidP="00314ACB">
      <w:pPr>
        <w:pStyle w:val="Listenabsatz"/>
        <w:keepNext/>
        <w:ind w:left="0" w:hanging="720"/>
        <w:jc w:val="center"/>
        <w:rPr>
          <w:rFonts w:ascii="Arial" w:hAnsi="Arial" w:cs="Arial"/>
          <w:b/>
        </w:rPr>
      </w:pPr>
      <w:r w:rsidRPr="00FF3443">
        <w:rPr>
          <w:rFonts w:ascii="Arial" w:hAnsi="Arial" w:cs="Arial"/>
          <w:b/>
        </w:rPr>
        <w:t>VI.</w:t>
      </w:r>
    </w:p>
    <w:p w:rsidR="00082A90" w:rsidRPr="00FF3443" w:rsidRDefault="00082A90" w:rsidP="00314ACB">
      <w:pPr>
        <w:jc w:val="center"/>
        <w:rPr>
          <w:rFonts w:ascii="Arial" w:hAnsi="Arial" w:cs="Arial"/>
          <w:b/>
        </w:rPr>
      </w:pPr>
      <w:r w:rsidRPr="00FF3443">
        <w:rPr>
          <w:rFonts w:ascii="Arial" w:hAnsi="Arial" w:cs="Arial"/>
          <w:b/>
          <w:bCs/>
        </w:rPr>
        <w:t>Landesarbeitsgericht Düsseldorf</w:t>
      </w:r>
    </w:p>
    <w:p w:rsidR="00082A90" w:rsidRPr="00FF3443" w:rsidRDefault="00082A90" w:rsidP="00314ACB">
      <w:pPr>
        <w:jc w:val="center"/>
        <w:rPr>
          <w:rFonts w:ascii="Arial" w:hAnsi="Arial" w:cs="Arial"/>
        </w:rPr>
      </w:pPr>
      <w:r w:rsidRPr="00FF3443">
        <w:rPr>
          <w:rFonts w:ascii="Arial" w:hAnsi="Arial" w:cs="Arial"/>
          <w:bCs/>
        </w:rPr>
        <w:t xml:space="preserve">Urteil vom 15.05.2024 - 14 </w:t>
      </w:r>
      <w:proofErr w:type="spellStart"/>
      <w:r w:rsidRPr="00FF3443">
        <w:rPr>
          <w:rFonts w:ascii="Arial" w:hAnsi="Arial" w:cs="Arial"/>
          <w:bCs/>
        </w:rPr>
        <w:t>SLa</w:t>
      </w:r>
      <w:proofErr w:type="spellEnd"/>
      <w:r w:rsidRPr="00FF3443">
        <w:rPr>
          <w:rFonts w:ascii="Arial" w:hAnsi="Arial" w:cs="Arial"/>
          <w:bCs/>
        </w:rPr>
        <w:t xml:space="preserve"> 81/24</w:t>
      </w:r>
    </w:p>
    <w:p w:rsidR="00FF3443" w:rsidRPr="00FF3443" w:rsidRDefault="00FF3443" w:rsidP="00314ACB">
      <w:pPr>
        <w:jc w:val="both"/>
        <w:rPr>
          <w:rFonts w:ascii="Arial" w:hAnsi="Arial" w:cs="Arial"/>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314ACB">
      <w:pPr>
        <w:jc w:val="both"/>
        <w:rPr>
          <w:rFonts w:ascii="Arial" w:hAnsi="Arial" w:cs="Arial"/>
          <w:sz w:val="20"/>
          <w:szCs w:val="20"/>
        </w:rPr>
      </w:pPr>
      <w:r w:rsidRPr="00A3339C">
        <w:rPr>
          <w:rFonts w:ascii="Arial" w:hAnsi="Arial" w:cs="Arial"/>
          <w:b/>
          <w:bCs/>
          <w:sz w:val="20"/>
          <w:szCs w:val="20"/>
        </w:rPr>
        <w:t>Annahmeverzugslohn - Zumutbare Arbeit - Schadensersatz bei unterbliebener Zielvorgabe</w:t>
      </w:r>
    </w:p>
    <w:p w:rsidR="00FF3443" w:rsidRDefault="00FF3443"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314ACB">
      <w:pPr>
        <w:jc w:val="both"/>
        <w:rPr>
          <w:rFonts w:ascii="Arial" w:hAnsi="Arial" w:cs="Arial"/>
          <w:sz w:val="20"/>
          <w:szCs w:val="20"/>
        </w:rPr>
      </w:pPr>
      <w:r w:rsidRPr="00A3339C">
        <w:rPr>
          <w:rFonts w:ascii="Arial" w:hAnsi="Arial" w:cs="Arial"/>
          <w:sz w:val="20"/>
          <w:szCs w:val="20"/>
        </w:rPr>
        <w:t xml:space="preserve">1. Eine Arbeit ist nicht zumutbar </w:t>
      </w:r>
      <w:proofErr w:type="spellStart"/>
      <w:r w:rsidRPr="00A3339C">
        <w:rPr>
          <w:rFonts w:ascii="Arial" w:hAnsi="Arial" w:cs="Arial"/>
          <w:sz w:val="20"/>
          <w:szCs w:val="20"/>
        </w:rPr>
        <w:t>iSv</w:t>
      </w:r>
      <w:proofErr w:type="spellEnd"/>
      <w:r w:rsidRPr="00A3339C">
        <w:rPr>
          <w:rFonts w:ascii="Arial" w:hAnsi="Arial" w:cs="Arial"/>
          <w:sz w:val="20"/>
          <w:szCs w:val="20"/>
        </w:rPr>
        <w:t xml:space="preserve">. § 11 Nr. 2 KSchG, wenn der Nettoverdienst nur geringfügig höher als das Arbeitslosengeld I ist, Kosten für die Arbeitswege mit dem Pkw anfallen, zu befürchten ist, dass der gekündigte Arbeitnehmer seine Expertise bei der anderen Tätigkeit verliert, sowie Probleme bei der Kinderbetreuung bestehen. </w:t>
      </w:r>
    </w:p>
    <w:p w:rsidR="00082A90" w:rsidRPr="00A3339C" w:rsidRDefault="00082A90" w:rsidP="00314ACB">
      <w:pPr>
        <w:jc w:val="both"/>
        <w:rPr>
          <w:rFonts w:ascii="Arial" w:hAnsi="Arial" w:cs="Arial"/>
          <w:sz w:val="20"/>
          <w:szCs w:val="20"/>
        </w:rPr>
      </w:pPr>
      <w:r w:rsidRPr="00A3339C">
        <w:rPr>
          <w:rFonts w:ascii="Arial" w:hAnsi="Arial" w:cs="Arial"/>
          <w:sz w:val="20"/>
          <w:szCs w:val="20"/>
        </w:rPr>
        <w:t xml:space="preserve">2. Bei einer in der Zielperiode pflichtwidrig und schuldhaft unterbliebenen Zielvorgabe ist der Arbeitgeber in gleicher Weise wie bei einer pflichtwidrig und schuldhaft nicht abgeschlossenen Zielvereinbarung zur Zahlung von Schadensersatz verpflichtet, allerdings </w:t>
      </w:r>
      <w:proofErr w:type="gramStart"/>
      <w:r w:rsidRPr="00A3339C">
        <w:rPr>
          <w:rFonts w:ascii="Arial" w:hAnsi="Arial" w:cs="Arial"/>
          <w:sz w:val="20"/>
          <w:szCs w:val="20"/>
        </w:rPr>
        <w:t>ohne</w:t>
      </w:r>
      <w:proofErr w:type="gramEnd"/>
      <w:r w:rsidRPr="00A3339C">
        <w:rPr>
          <w:rFonts w:ascii="Arial" w:hAnsi="Arial" w:cs="Arial"/>
          <w:sz w:val="20"/>
          <w:szCs w:val="20"/>
        </w:rPr>
        <w:t xml:space="preserve"> dass ein Mitverschulden des Arbeitnehmers in Betracht kommt.</w:t>
      </w:r>
    </w:p>
    <w:p w:rsidR="00FF3443" w:rsidRDefault="00FF3443"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314ACB">
      <w:pPr>
        <w:rPr>
          <w:rFonts w:ascii="Arial" w:hAnsi="Arial" w:cs="Arial"/>
          <w:sz w:val="20"/>
          <w:szCs w:val="20"/>
        </w:rPr>
      </w:pPr>
      <w:hyperlink r:id="rId15" w:tgtFrame="_blank" w:history="1">
        <w:r w:rsidR="00082A90" w:rsidRPr="00A3339C">
          <w:rPr>
            <w:rStyle w:val="Hyperlink"/>
            <w:rFonts w:ascii="Arial" w:hAnsi="Arial" w:cs="Arial"/>
            <w:color w:val="auto"/>
            <w:sz w:val="20"/>
            <w:szCs w:val="20"/>
          </w:rPr>
          <w:t>https://www.justiz.nrw/nrwe/arbgs/duesseldorf/lag_duesseldorf/j2024/NRWE_LAG_D_sseldorf_14_SLa_81_24_Urteil_20240515.html</w:t>
        </w:r>
      </w:hyperlink>
    </w:p>
    <w:p w:rsidR="00FF3443" w:rsidRPr="00FF3443" w:rsidRDefault="00FF3443" w:rsidP="00314ACB">
      <w:pPr>
        <w:keepNext/>
        <w:jc w:val="both"/>
        <w:rPr>
          <w:rFonts w:ascii="Arial" w:hAnsi="Arial" w:cs="Arial"/>
          <w:sz w:val="20"/>
          <w:szCs w:val="20"/>
        </w:rPr>
      </w:pPr>
    </w:p>
    <w:p w:rsidR="00082A90" w:rsidRPr="00FF3443" w:rsidRDefault="00082A90" w:rsidP="00314ACB">
      <w:pPr>
        <w:pStyle w:val="Listenabsatz"/>
        <w:keepNext/>
        <w:ind w:left="0" w:hanging="720"/>
        <w:jc w:val="center"/>
        <w:rPr>
          <w:rFonts w:ascii="Arial" w:hAnsi="Arial" w:cs="Arial"/>
          <w:b/>
        </w:rPr>
      </w:pPr>
      <w:r w:rsidRPr="00FF3443">
        <w:rPr>
          <w:rFonts w:ascii="Arial" w:hAnsi="Arial" w:cs="Arial"/>
          <w:b/>
        </w:rPr>
        <w:t>VII.</w:t>
      </w:r>
    </w:p>
    <w:p w:rsidR="00082A90" w:rsidRPr="00FF3443" w:rsidRDefault="00082A90" w:rsidP="00314ACB">
      <w:pPr>
        <w:jc w:val="center"/>
        <w:rPr>
          <w:rFonts w:ascii="Arial" w:hAnsi="Arial" w:cs="Arial"/>
          <w:b/>
        </w:rPr>
      </w:pPr>
      <w:r w:rsidRPr="00FF3443">
        <w:rPr>
          <w:rFonts w:ascii="Arial" w:hAnsi="Arial" w:cs="Arial"/>
          <w:b/>
          <w:bCs/>
        </w:rPr>
        <w:t>Landesarbeitsgericht Düsseldorf</w:t>
      </w:r>
    </w:p>
    <w:p w:rsidR="00082A90" w:rsidRPr="00FF3443" w:rsidRDefault="00082A90" w:rsidP="00314ACB">
      <w:pPr>
        <w:jc w:val="center"/>
        <w:rPr>
          <w:rFonts w:ascii="Arial" w:hAnsi="Arial" w:cs="Arial"/>
        </w:rPr>
      </w:pPr>
      <w:r w:rsidRPr="00FF3443">
        <w:rPr>
          <w:rFonts w:ascii="Arial" w:hAnsi="Arial" w:cs="Arial"/>
          <w:bCs/>
        </w:rPr>
        <w:lastRenderedPageBreak/>
        <w:t>Beschluss vom 1.07.2024 - 3 Ta 85/24</w:t>
      </w:r>
    </w:p>
    <w:p w:rsidR="00314ACB" w:rsidRDefault="00314ACB"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314ACB">
      <w:pPr>
        <w:jc w:val="both"/>
        <w:rPr>
          <w:rFonts w:ascii="Arial" w:hAnsi="Arial" w:cs="Arial"/>
          <w:sz w:val="20"/>
          <w:szCs w:val="20"/>
        </w:rPr>
      </w:pPr>
      <w:r w:rsidRPr="00A3339C">
        <w:rPr>
          <w:rFonts w:ascii="Arial" w:hAnsi="Arial" w:cs="Arial"/>
          <w:b/>
          <w:bCs/>
          <w:sz w:val="20"/>
          <w:szCs w:val="20"/>
        </w:rPr>
        <w:t>Rechtsweg für eine Schadensersatzklage gegen einen Organvertreter des Arbeitgebers wegen Datenschutzverstößen und Persönlichkeitsrechtsverletzung</w:t>
      </w:r>
    </w:p>
    <w:p w:rsidR="00314ACB" w:rsidRDefault="00314ACB"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314ACB">
      <w:pPr>
        <w:jc w:val="both"/>
        <w:rPr>
          <w:rFonts w:ascii="Arial" w:hAnsi="Arial" w:cs="Arial"/>
          <w:sz w:val="20"/>
          <w:szCs w:val="20"/>
        </w:rPr>
      </w:pPr>
      <w:r w:rsidRPr="00A3339C">
        <w:rPr>
          <w:rFonts w:ascii="Arial" w:hAnsi="Arial" w:cs="Arial"/>
          <w:sz w:val="20"/>
          <w:szCs w:val="20"/>
        </w:rPr>
        <w:t xml:space="preserve">Für die Schadensersatzklage eines Arbeitnehmers gegen die Organvertreterin seines Arbeitgebers (hier: Präsidentin bzw. Vorstandsvorsitzende eines Vereins) wegen datenschutzrechtlicher Verstöße und einer Persönlichkeitsrechtsverletzung durch Offenlegung von Gesundheitsdaten in einem Mitgliederrundbrief an knapp 10.000 Vereinsmitglieder ist der Rechtsweg zu den Arbeitsgerichten in entsprechender Anwendung von § 2 Abs. 1 Nr. 3 </w:t>
      </w:r>
      <w:proofErr w:type="spellStart"/>
      <w:r w:rsidRPr="00A3339C">
        <w:rPr>
          <w:rFonts w:ascii="Arial" w:hAnsi="Arial" w:cs="Arial"/>
          <w:sz w:val="20"/>
          <w:szCs w:val="20"/>
        </w:rPr>
        <w:t>lit</w:t>
      </w:r>
      <w:proofErr w:type="spellEnd"/>
      <w:r w:rsidRPr="00A3339C">
        <w:rPr>
          <w:rFonts w:ascii="Arial" w:hAnsi="Arial" w:cs="Arial"/>
          <w:sz w:val="20"/>
          <w:szCs w:val="20"/>
        </w:rPr>
        <w:t>. d) ArbGG eröffnet.</w:t>
      </w:r>
    </w:p>
    <w:p w:rsidR="00314ACB" w:rsidRDefault="00314ACB" w:rsidP="00314ACB">
      <w:pPr>
        <w:jc w:val="both"/>
        <w:rPr>
          <w:rFonts w:ascii="Arial" w:hAnsi="Arial" w:cs="Arial"/>
          <w:b/>
          <w:bCs/>
          <w:sz w:val="20"/>
          <w:szCs w:val="20"/>
          <w:u w:val="single"/>
        </w:rPr>
      </w:pPr>
    </w:p>
    <w:p w:rsidR="00082A90" w:rsidRPr="00A3339C" w:rsidRDefault="00082A90" w:rsidP="00314ACB">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314ACB">
      <w:pPr>
        <w:rPr>
          <w:rFonts w:ascii="Arial" w:hAnsi="Arial" w:cs="Arial"/>
          <w:sz w:val="20"/>
          <w:szCs w:val="20"/>
        </w:rPr>
      </w:pPr>
      <w:hyperlink r:id="rId16" w:tgtFrame="_blank" w:history="1">
        <w:r w:rsidR="00082A90" w:rsidRPr="00A3339C">
          <w:rPr>
            <w:rStyle w:val="Hyperlink"/>
            <w:rFonts w:ascii="Arial" w:hAnsi="Arial" w:cs="Arial"/>
            <w:color w:val="auto"/>
            <w:sz w:val="20"/>
            <w:szCs w:val="20"/>
          </w:rPr>
          <w:t>https://www.justiz.nrw/nrwe/arbgs/duesseldorf/lag_duesseldorf/j2024/NRWE_LAG_D_sseldorf_3_Ta_85_24_Beschluss_20240701.html</w:t>
        </w:r>
      </w:hyperlink>
    </w:p>
    <w:p w:rsidR="00314ACB" w:rsidRPr="00314ACB" w:rsidRDefault="00314ACB" w:rsidP="00314ACB">
      <w:pPr>
        <w:keepNext/>
        <w:jc w:val="both"/>
        <w:rPr>
          <w:rFonts w:ascii="Arial" w:hAnsi="Arial" w:cs="Arial"/>
          <w:sz w:val="20"/>
          <w:szCs w:val="20"/>
        </w:rPr>
      </w:pPr>
    </w:p>
    <w:p w:rsidR="00082A90" w:rsidRPr="004469F3" w:rsidRDefault="00082A90" w:rsidP="004469F3">
      <w:pPr>
        <w:pStyle w:val="Listenabsatz"/>
        <w:keepNext/>
        <w:ind w:left="0" w:hanging="720"/>
        <w:jc w:val="center"/>
        <w:rPr>
          <w:rFonts w:ascii="Arial" w:hAnsi="Arial" w:cs="Arial"/>
          <w:b/>
        </w:rPr>
      </w:pPr>
      <w:r w:rsidRPr="004469F3">
        <w:rPr>
          <w:rFonts w:ascii="Arial" w:hAnsi="Arial" w:cs="Arial"/>
          <w:b/>
        </w:rPr>
        <w:t>VIII.</w:t>
      </w:r>
    </w:p>
    <w:p w:rsidR="00082A90" w:rsidRPr="004469F3" w:rsidRDefault="00082A90" w:rsidP="004469F3">
      <w:pPr>
        <w:jc w:val="center"/>
        <w:rPr>
          <w:rFonts w:ascii="Arial" w:hAnsi="Arial" w:cs="Arial"/>
          <w:b/>
        </w:rPr>
      </w:pPr>
      <w:r w:rsidRPr="004469F3">
        <w:rPr>
          <w:rFonts w:ascii="Arial" w:hAnsi="Arial" w:cs="Arial"/>
          <w:b/>
          <w:bCs/>
        </w:rPr>
        <w:t>Landesarbeitsgericht Niedersachsen</w:t>
      </w:r>
    </w:p>
    <w:p w:rsidR="00082A90" w:rsidRPr="004469F3" w:rsidRDefault="00082A90" w:rsidP="004469F3">
      <w:pPr>
        <w:jc w:val="center"/>
        <w:rPr>
          <w:rFonts w:ascii="Arial" w:hAnsi="Arial" w:cs="Arial"/>
        </w:rPr>
      </w:pPr>
      <w:r w:rsidRPr="004469F3">
        <w:rPr>
          <w:rFonts w:ascii="Arial" w:hAnsi="Arial" w:cs="Arial"/>
          <w:bCs/>
        </w:rPr>
        <w:t xml:space="preserve">Beschl. v. 08.05.2024, Az.: 2 </w:t>
      </w:r>
      <w:proofErr w:type="spellStart"/>
      <w:r w:rsidRPr="004469F3">
        <w:rPr>
          <w:rFonts w:ascii="Arial" w:hAnsi="Arial" w:cs="Arial"/>
          <w:bCs/>
        </w:rPr>
        <w:t>TaBV</w:t>
      </w:r>
      <w:proofErr w:type="spellEnd"/>
      <w:r w:rsidRPr="004469F3">
        <w:rPr>
          <w:rFonts w:ascii="Arial" w:hAnsi="Arial" w:cs="Arial"/>
          <w:bCs/>
        </w:rPr>
        <w:t xml:space="preserve"> 81/23</w:t>
      </w:r>
    </w:p>
    <w:p w:rsidR="004469F3" w:rsidRDefault="004469F3" w:rsidP="004469F3">
      <w:pPr>
        <w:jc w:val="both"/>
        <w:rPr>
          <w:rFonts w:ascii="Arial" w:hAnsi="Arial" w:cs="Arial"/>
          <w:b/>
          <w:bCs/>
          <w:sz w:val="20"/>
          <w:szCs w:val="20"/>
          <w:u w:val="single"/>
        </w:rPr>
      </w:pPr>
    </w:p>
    <w:p w:rsidR="00082A90" w:rsidRPr="00A3339C" w:rsidRDefault="00082A90" w:rsidP="004469F3">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4469F3">
      <w:pPr>
        <w:jc w:val="both"/>
        <w:rPr>
          <w:rFonts w:ascii="Arial" w:hAnsi="Arial" w:cs="Arial"/>
          <w:sz w:val="20"/>
          <w:szCs w:val="20"/>
        </w:rPr>
      </w:pPr>
      <w:r w:rsidRPr="00A3339C">
        <w:rPr>
          <w:rFonts w:ascii="Arial" w:hAnsi="Arial" w:cs="Arial"/>
          <w:b/>
          <w:bCs/>
          <w:sz w:val="20"/>
          <w:szCs w:val="20"/>
        </w:rPr>
        <w:t>Unterrichtung des Betriebsrats bei einer Anhörung zu einer Versetzung eines Arbeitnehmers über deren konkreten Folgen; Aushöhlung von Provisionsregelungen trotz Weitergeltung durch Wechsel von dem Außen- in den Innendienst</w:t>
      </w:r>
    </w:p>
    <w:p w:rsidR="004469F3" w:rsidRDefault="004469F3" w:rsidP="004469F3">
      <w:pPr>
        <w:jc w:val="both"/>
        <w:rPr>
          <w:rFonts w:ascii="Arial" w:hAnsi="Arial" w:cs="Arial"/>
          <w:b/>
          <w:bCs/>
          <w:sz w:val="20"/>
          <w:szCs w:val="20"/>
          <w:u w:val="single"/>
        </w:rPr>
      </w:pPr>
    </w:p>
    <w:p w:rsidR="00082A90" w:rsidRPr="00A3339C" w:rsidRDefault="00082A90" w:rsidP="004469F3">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4469F3">
      <w:pPr>
        <w:jc w:val="both"/>
        <w:rPr>
          <w:rFonts w:ascii="Arial" w:hAnsi="Arial" w:cs="Arial"/>
          <w:sz w:val="20"/>
          <w:szCs w:val="20"/>
        </w:rPr>
      </w:pPr>
      <w:r w:rsidRPr="00A3339C">
        <w:rPr>
          <w:rFonts w:ascii="Arial" w:hAnsi="Arial" w:cs="Arial"/>
          <w:sz w:val="20"/>
          <w:szCs w:val="20"/>
        </w:rPr>
        <w:t>Der Betriebsrat ist bei einer Anhörung zu einer Versetzung über deren konkreten Folgen zu unterrichten. Wenn der betroffene Arbeitnehmer trotz Weitergeltung der bisherigen Provisionsregelung aufgrund der veränderten Tätigkeit (Wechsel vom Außendienst in den Innendienst) keine Möglichkeit mehr besitzt, in unverändertem Umfang Provisionen zu erzielen, ist der Betriebsrat hierüber zu informieren.</w:t>
      </w:r>
    </w:p>
    <w:p w:rsidR="004469F3" w:rsidRDefault="004469F3" w:rsidP="004469F3">
      <w:pPr>
        <w:jc w:val="both"/>
        <w:rPr>
          <w:rFonts w:ascii="Arial" w:hAnsi="Arial" w:cs="Arial"/>
          <w:b/>
          <w:bCs/>
          <w:sz w:val="20"/>
          <w:szCs w:val="20"/>
          <w:u w:val="single"/>
        </w:rPr>
      </w:pPr>
    </w:p>
    <w:p w:rsidR="00082A90" w:rsidRPr="00A3339C" w:rsidRDefault="00082A90" w:rsidP="004469F3">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4469F3">
      <w:pPr>
        <w:rPr>
          <w:rFonts w:ascii="Arial" w:hAnsi="Arial" w:cs="Arial"/>
          <w:sz w:val="20"/>
          <w:szCs w:val="20"/>
        </w:rPr>
      </w:pPr>
      <w:hyperlink r:id="rId17" w:tgtFrame="_blank" w:history="1">
        <w:r w:rsidR="00082A90" w:rsidRPr="00A3339C">
          <w:rPr>
            <w:rStyle w:val="Hyperlink"/>
            <w:rFonts w:ascii="Arial" w:hAnsi="Arial" w:cs="Arial"/>
            <w:color w:val="auto"/>
            <w:sz w:val="20"/>
            <w:szCs w:val="20"/>
          </w:rPr>
          <w:t>https://voris.wolterskluwer-online.de/browse/document/511a1f4c-851c-45ed-b6df-29178a5a39a1</w:t>
        </w:r>
      </w:hyperlink>
    </w:p>
    <w:p w:rsidR="004469F3" w:rsidRPr="004469F3" w:rsidRDefault="004469F3" w:rsidP="004469F3">
      <w:pPr>
        <w:keepNext/>
        <w:jc w:val="both"/>
        <w:rPr>
          <w:rFonts w:ascii="Arial" w:hAnsi="Arial" w:cs="Arial"/>
          <w:sz w:val="20"/>
          <w:szCs w:val="20"/>
        </w:rPr>
      </w:pPr>
    </w:p>
    <w:p w:rsidR="00082A90" w:rsidRPr="004469F3" w:rsidRDefault="00082A90" w:rsidP="004469F3">
      <w:pPr>
        <w:pStyle w:val="Listenabsatz"/>
        <w:keepNext/>
        <w:ind w:left="0" w:hanging="720"/>
        <w:jc w:val="center"/>
        <w:rPr>
          <w:rFonts w:ascii="Arial" w:hAnsi="Arial" w:cs="Arial"/>
          <w:b/>
        </w:rPr>
      </w:pPr>
      <w:r w:rsidRPr="004469F3">
        <w:rPr>
          <w:rFonts w:ascii="Arial" w:hAnsi="Arial" w:cs="Arial"/>
          <w:b/>
        </w:rPr>
        <w:t>IX.</w:t>
      </w:r>
    </w:p>
    <w:p w:rsidR="00082A90" w:rsidRPr="004469F3" w:rsidRDefault="00082A90" w:rsidP="004469F3">
      <w:pPr>
        <w:jc w:val="center"/>
        <w:rPr>
          <w:rFonts w:ascii="Arial" w:hAnsi="Arial" w:cs="Arial"/>
          <w:b/>
        </w:rPr>
      </w:pPr>
      <w:r w:rsidRPr="004469F3">
        <w:rPr>
          <w:rFonts w:ascii="Arial" w:hAnsi="Arial" w:cs="Arial"/>
          <w:b/>
          <w:bCs/>
        </w:rPr>
        <w:t>Landesarbeitsgericht Niedersachsen</w:t>
      </w:r>
    </w:p>
    <w:p w:rsidR="00082A90" w:rsidRPr="004469F3" w:rsidRDefault="00082A90" w:rsidP="004469F3">
      <w:pPr>
        <w:jc w:val="center"/>
        <w:rPr>
          <w:rFonts w:ascii="Arial" w:hAnsi="Arial" w:cs="Arial"/>
        </w:rPr>
      </w:pPr>
      <w:r w:rsidRPr="004469F3">
        <w:rPr>
          <w:rFonts w:ascii="Arial" w:hAnsi="Arial" w:cs="Arial"/>
          <w:bCs/>
        </w:rPr>
        <w:t>Urt. v. 06.05.2024, Az.: 4 Sa 446/23</w:t>
      </w:r>
    </w:p>
    <w:p w:rsidR="004469F3" w:rsidRDefault="004469F3" w:rsidP="004469F3">
      <w:pPr>
        <w:jc w:val="both"/>
        <w:rPr>
          <w:rFonts w:ascii="Arial" w:hAnsi="Arial" w:cs="Arial"/>
          <w:b/>
          <w:bCs/>
          <w:sz w:val="20"/>
          <w:szCs w:val="20"/>
          <w:u w:val="single"/>
        </w:rPr>
      </w:pPr>
    </w:p>
    <w:p w:rsidR="00082A90" w:rsidRPr="00A3339C" w:rsidRDefault="00082A90" w:rsidP="004469F3">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4469F3">
      <w:pPr>
        <w:jc w:val="both"/>
        <w:rPr>
          <w:rFonts w:ascii="Arial" w:hAnsi="Arial" w:cs="Arial"/>
          <w:sz w:val="20"/>
          <w:szCs w:val="20"/>
        </w:rPr>
      </w:pPr>
      <w:r w:rsidRPr="00A3339C">
        <w:rPr>
          <w:rFonts w:ascii="Arial" w:hAnsi="Arial" w:cs="Arial"/>
          <w:b/>
          <w:bCs/>
          <w:sz w:val="20"/>
          <w:szCs w:val="20"/>
        </w:rPr>
        <w:t>Berechtigung des Arbeitgebers zur Kündigung des Arbeitsverhältnisses eines Mitglieds des Betriebsrats aus wichtigem Grund ohne Einhaltung einer Kündigungsfrist (hier: Konsum von Kokain während der Arbeitszeit)</w:t>
      </w:r>
    </w:p>
    <w:p w:rsidR="004469F3" w:rsidRDefault="004469F3" w:rsidP="004469F3">
      <w:pPr>
        <w:jc w:val="both"/>
        <w:rPr>
          <w:rFonts w:ascii="Arial" w:hAnsi="Arial" w:cs="Arial"/>
          <w:b/>
          <w:bCs/>
          <w:sz w:val="20"/>
          <w:szCs w:val="20"/>
          <w:u w:val="single"/>
        </w:rPr>
      </w:pPr>
    </w:p>
    <w:p w:rsidR="00082A90" w:rsidRPr="00A3339C" w:rsidRDefault="00082A90" w:rsidP="004469F3">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4469F3">
      <w:pPr>
        <w:jc w:val="both"/>
        <w:rPr>
          <w:rFonts w:ascii="Arial" w:hAnsi="Arial" w:cs="Arial"/>
          <w:sz w:val="20"/>
          <w:szCs w:val="20"/>
        </w:rPr>
      </w:pPr>
      <w:r w:rsidRPr="00A3339C">
        <w:rPr>
          <w:rFonts w:ascii="Arial" w:hAnsi="Arial" w:cs="Arial"/>
          <w:sz w:val="20"/>
          <w:szCs w:val="20"/>
        </w:rPr>
        <w:t xml:space="preserve">Der Konsum von Kokain während der Arbeitszeit und in den Räumlichkeiten des Arbeitgebers stellt einen schwerwiegenden Verstoß gegen die arbeitsvertraglichen Pflichten dar, der einen wichtigen Grund </w:t>
      </w:r>
      <w:proofErr w:type="spellStart"/>
      <w:r w:rsidRPr="00A3339C">
        <w:rPr>
          <w:rFonts w:ascii="Arial" w:hAnsi="Arial" w:cs="Arial"/>
          <w:sz w:val="20"/>
          <w:szCs w:val="20"/>
        </w:rPr>
        <w:t>iSd</w:t>
      </w:r>
      <w:proofErr w:type="spellEnd"/>
      <w:r w:rsidRPr="00A3339C">
        <w:rPr>
          <w:rFonts w:ascii="Arial" w:hAnsi="Arial" w:cs="Arial"/>
          <w:sz w:val="20"/>
          <w:szCs w:val="20"/>
        </w:rPr>
        <w:t>. § 626 Abs.</w:t>
      </w:r>
      <w:r w:rsidR="004469F3" w:rsidRPr="00A3339C">
        <w:rPr>
          <w:rFonts w:ascii="Arial" w:hAnsi="Arial" w:cs="Arial"/>
          <w:sz w:val="20"/>
          <w:szCs w:val="20"/>
        </w:rPr>
        <w:t xml:space="preserve"> </w:t>
      </w:r>
      <w:r w:rsidRPr="00A3339C">
        <w:rPr>
          <w:rFonts w:ascii="Arial" w:hAnsi="Arial" w:cs="Arial"/>
          <w:sz w:val="20"/>
          <w:szCs w:val="20"/>
        </w:rPr>
        <w:t>1 BGB abgeben kann.</w:t>
      </w:r>
    </w:p>
    <w:p w:rsidR="004469F3" w:rsidRDefault="004469F3" w:rsidP="004469F3">
      <w:pPr>
        <w:jc w:val="both"/>
        <w:rPr>
          <w:rFonts w:ascii="Arial" w:hAnsi="Arial" w:cs="Arial"/>
          <w:b/>
          <w:bCs/>
          <w:sz w:val="20"/>
          <w:szCs w:val="20"/>
          <w:u w:val="single"/>
        </w:rPr>
      </w:pPr>
    </w:p>
    <w:p w:rsidR="00082A90" w:rsidRPr="00A3339C" w:rsidRDefault="00082A90" w:rsidP="004469F3">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4469F3">
      <w:pPr>
        <w:rPr>
          <w:rFonts w:ascii="Arial" w:hAnsi="Arial" w:cs="Arial"/>
          <w:sz w:val="20"/>
          <w:szCs w:val="20"/>
        </w:rPr>
      </w:pPr>
      <w:hyperlink r:id="rId18" w:tgtFrame="_blank" w:history="1">
        <w:r w:rsidR="00082A90" w:rsidRPr="00A3339C">
          <w:rPr>
            <w:rStyle w:val="Hyperlink"/>
            <w:rFonts w:ascii="Arial" w:hAnsi="Arial" w:cs="Arial"/>
            <w:color w:val="auto"/>
            <w:sz w:val="20"/>
            <w:szCs w:val="20"/>
          </w:rPr>
          <w:t>https://voris.wolterskluwer-online.de/browse/document/66b8353b-2725-4a01-8cc0-b0387cd2204a</w:t>
        </w:r>
      </w:hyperlink>
    </w:p>
    <w:p w:rsidR="004469F3" w:rsidRPr="004469F3" w:rsidRDefault="004469F3" w:rsidP="004469F3">
      <w:pPr>
        <w:keepNext/>
        <w:jc w:val="both"/>
        <w:rPr>
          <w:rFonts w:ascii="Arial" w:hAnsi="Arial" w:cs="Arial"/>
          <w:sz w:val="20"/>
          <w:szCs w:val="20"/>
        </w:rPr>
      </w:pPr>
    </w:p>
    <w:p w:rsidR="00082A90" w:rsidRPr="004469F3" w:rsidRDefault="00082A90" w:rsidP="004469F3">
      <w:pPr>
        <w:pStyle w:val="Listenabsatz"/>
        <w:keepNext/>
        <w:ind w:left="0" w:hanging="720"/>
        <w:jc w:val="center"/>
        <w:rPr>
          <w:rFonts w:ascii="Arial" w:hAnsi="Arial" w:cs="Arial"/>
          <w:b/>
        </w:rPr>
      </w:pPr>
      <w:r w:rsidRPr="004469F3">
        <w:rPr>
          <w:rFonts w:ascii="Arial" w:hAnsi="Arial" w:cs="Arial"/>
          <w:b/>
        </w:rPr>
        <w:t>X.</w:t>
      </w:r>
    </w:p>
    <w:p w:rsidR="00082A90" w:rsidRPr="004469F3" w:rsidRDefault="00082A90" w:rsidP="004469F3">
      <w:pPr>
        <w:jc w:val="center"/>
        <w:rPr>
          <w:rFonts w:ascii="Arial" w:hAnsi="Arial" w:cs="Arial"/>
          <w:b/>
        </w:rPr>
      </w:pPr>
      <w:r w:rsidRPr="004469F3">
        <w:rPr>
          <w:rFonts w:ascii="Arial" w:hAnsi="Arial" w:cs="Arial"/>
          <w:b/>
          <w:bCs/>
        </w:rPr>
        <w:t>Hessisches Landesarbeitsgericht</w:t>
      </w:r>
    </w:p>
    <w:p w:rsidR="00082A90" w:rsidRPr="004469F3" w:rsidRDefault="00082A90" w:rsidP="004469F3">
      <w:pPr>
        <w:jc w:val="center"/>
        <w:rPr>
          <w:rFonts w:ascii="Arial" w:hAnsi="Arial" w:cs="Arial"/>
        </w:rPr>
      </w:pPr>
      <w:r w:rsidRPr="004469F3">
        <w:rPr>
          <w:rFonts w:ascii="Arial" w:hAnsi="Arial" w:cs="Arial"/>
          <w:bCs/>
        </w:rPr>
        <w:t>Beschluss v. 21.06.2024, Az.: 12 Ta 101/24</w:t>
      </w:r>
    </w:p>
    <w:p w:rsidR="004469F3" w:rsidRDefault="004469F3" w:rsidP="004469F3">
      <w:pPr>
        <w:jc w:val="both"/>
        <w:rPr>
          <w:rFonts w:ascii="Arial" w:hAnsi="Arial" w:cs="Arial"/>
          <w:b/>
          <w:bCs/>
          <w:sz w:val="20"/>
          <w:szCs w:val="20"/>
          <w:u w:val="single"/>
        </w:rPr>
      </w:pPr>
    </w:p>
    <w:p w:rsidR="00082A90" w:rsidRPr="00A3339C" w:rsidRDefault="00082A90" w:rsidP="004469F3">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4469F3">
      <w:pPr>
        <w:jc w:val="both"/>
        <w:rPr>
          <w:rFonts w:ascii="Arial" w:hAnsi="Arial" w:cs="Arial"/>
          <w:sz w:val="20"/>
          <w:szCs w:val="20"/>
        </w:rPr>
      </w:pPr>
      <w:r w:rsidRPr="00A3339C">
        <w:rPr>
          <w:rFonts w:ascii="Arial" w:hAnsi="Arial" w:cs="Arial"/>
          <w:b/>
          <w:bCs/>
          <w:sz w:val="20"/>
          <w:szCs w:val="20"/>
        </w:rPr>
        <w:t>§</w:t>
      </w:r>
      <w:r w:rsidR="004469F3">
        <w:rPr>
          <w:rFonts w:ascii="Arial" w:hAnsi="Arial" w:cs="Arial"/>
          <w:b/>
          <w:bCs/>
          <w:sz w:val="20"/>
          <w:szCs w:val="20"/>
        </w:rPr>
        <w:t xml:space="preserve"> </w:t>
      </w:r>
      <w:r w:rsidRPr="00A3339C">
        <w:rPr>
          <w:rFonts w:ascii="Arial" w:hAnsi="Arial" w:cs="Arial"/>
          <w:b/>
          <w:bCs/>
          <w:sz w:val="20"/>
          <w:szCs w:val="20"/>
        </w:rPr>
        <w:t>45 Abs.</w:t>
      </w:r>
      <w:r w:rsidR="004469F3" w:rsidRPr="00A3339C">
        <w:rPr>
          <w:rFonts w:ascii="Arial" w:hAnsi="Arial" w:cs="Arial"/>
          <w:b/>
          <w:bCs/>
          <w:sz w:val="20"/>
          <w:szCs w:val="20"/>
        </w:rPr>
        <w:t xml:space="preserve"> </w:t>
      </w:r>
      <w:r w:rsidRPr="00A3339C">
        <w:rPr>
          <w:rFonts w:ascii="Arial" w:hAnsi="Arial" w:cs="Arial"/>
          <w:b/>
          <w:bCs/>
          <w:sz w:val="20"/>
          <w:szCs w:val="20"/>
        </w:rPr>
        <w:t>1 Satz</w:t>
      </w:r>
      <w:r w:rsidR="004469F3">
        <w:rPr>
          <w:rFonts w:ascii="Arial" w:hAnsi="Arial" w:cs="Arial"/>
          <w:b/>
          <w:bCs/>
          <w:sz w:val="20"/>
          <w:szCs w:val="20"/>
        </w:rPr>
        <w:t xml:space="preserve"> </w:t>
      </w:r>
      <w:r w:rsidRPr="00A3339C">
        <w:rPr>
          <w:rFonts w:ascii="Arial" w:hAnsi="Arial" w:cs="Arial"/>
          <w:b/>
          <w:bCs/>
          <w:sz w:val="20"/>
          <w:szCs w:val="20"/>
        </w:rPr>
        <w:t xml:space="preserve">2 </w:t>
      </w:r>
      <w:proofErr w:type="spellStart"/>
      <w:r w:rsidRPr="00A3339C">
        <w:rPr>
          <w:rFonts w:ascii="Arial" w:hAnsi="Arial" w:cs="Arial"/>
          <w:b/>
          <w:bCs/>
          <w:sz w:val="20"/>
          <w:szCs w:val="20"/>
        </w:rPr>
        <w:t>i.V.m</w:t>
      </w:r>
      <w:proofErr w:type="spellEnd"/>
      <w:r w:rsidRPr="00A3339C">
        <w:rPr>
          <w:rFonts w:ascii="Arial" w:hAnsi="Arial" w:cs="Arial"/>
          <w:b/>
          <w:bCs/>
          <w:sz w:val="20"/>
          <w:szCs w:val="20"/>
        </w:rPr>
        <w:t>. Abs.</w:t>
      </w:r>
      <w:r w:rsidR="004469F3">
        <w:rPr>
          <w:rFonts w:ascii="Arial" w:hAnsi="Arial" w:cs="Arial"/>
          <w:b/>
          <w:bCs/>
          <w:sz w:val="20"/>
          <w:szCs w:val="20"/>
        </w:rPr>
        <w:t xml:space="preserve"> </w:t>
      </w:r>
      <w:r w:rsidR="004469F3" w:rsidRPr="00A3339C">
        <w:rPr>
          <w:rFonts w:ascii="Arial" w:hAnsi="Arial" w:cs="Arial"/>
          <w:b/>
          <w:bCs/>
          <w:sz w:val="20"/>
          <w:szCs w:val="20"/>
        </w:rPr>
        <w:t xml:space="preserve"> </w:t>
      </w:r>
      <w:r w:rsidRPr="00A3339C">
        <w:rPr>
          <w:rFonts w:ascii="Arial" w:hAnsi="Arial" w:cs="Arial"/>
          <w:b/>
          <w:bCs/>
          <w:sz w:val="20"/>
          <w:szCs w:val="20"/>
        </w:rPr>
        <w:t>4 GKG</w:t>
      </w:r>
    </w:p>
    <w:p w:rsidR="004469F3" w:rsidRDefault="004469F3" w:rsidP="004469F3">
      <w:pPr>
        <w:jc w:val="both"/>
        <w:rPr>
          <w:rFonts w:ascii="Arial" w:hAnsi="Arial" w:cs="Arial"/>
          <w:b/>
          <w:bCs/>
          <w:sz w:val="20"/>
          <w:szCs w:val="20"/>
          <w:u w:val="single"/>
        </w:rPr>
      </w:pPr>
    </w:p>
    <w:p w:rsidR="00082A90" w:rsidRPr="00A3339C" w:rsidRDefault="00082A90" w:rsidP="004469F3">
      <w:pPr>
        <w:jc w:val="both"/>
        <w:rPr>
          <w:rFonts w:ascii="Arial" w:hAnsi="Arial" w:cs="Arial"/>
          <w:sz w:val="20"/>
          <w:szCs w:val="20"/>
        </w:rPr>
      </w:pPr>
      <w:r w:rsidRPr="00A3339C">
        <w:rPr>
          <w:rFonts w:ascii="Arial" w:hAnsi="Arial" w:cs="Arial"/>
          <w:b/>
          <w:bCs/>
          <w:sz w:val="20"/>
          <w:szCs w:val="20"/>
          <w:u w:val="single"/>
        </w:rPr>
        <w:lastRenderedPageBreak/>
        <w:t>Leitsätze:</w:t>
      </w:r>
    </w:p>
    <w:p w:rsidR="00082A90" w:rsidRPr="00A3339C" w:rsidRDefault="00082A90" w:rsidP="004469F3">
      <w:pPr>
        <w:jc w:val="both"/>
        <w:rPr>
          <w:rFonts w:ascii="Arial" w:hAnsi="Arial" w:cs="Arial"/>
          <w:sz w:val="20"/>
          <w:szCs w:val="20"/>
        </w:rPr>
      </w:pPr>
      <w:r w:rsidRPr="00A3339C">
        <w:rPr>
          <w:rFonts w:ascii="Arial" w:hAnsi="Arial" w:cs="Arial"/>
          <w:sz w:val="20"/>
          <w:szCs w:val="20"/>
        </w:rPr>
        <w:t>Der in einem Kündigungsschutzverfahren bedingt gestellte Weiterbeschäftigungsantrag ist bei der Streitwertfestsetzung nur zu berücksichtigen, wenn über ihn entschieden wird oder im Vergleich eine positive oder negative, ggf. auch konkludente Regelung hinsichtlich der Weiterbeschäftigung getroffen wird.</w:t>
      </w:r>
    </w:p>
    <w:p w:rsidR="004469F3" w:rsidRDefault="004469F3" w:rsidP="004469F3">
      <w:pPr>
        <w:jc w:val="both"/>
        <w:rPr>
          <w:rFonts w:ascii="Arial" w:hAnsi="Arial" w:cs="Arial"/>
          <w:sz w:val="20"/>
          <w:szCs w:val="20"/>
        </w:rPr>
      </w:pPr>
    </w:p>
    <w:p w:rsidR="00082A90" w:rsidRPr="00A3339C" w:rsidRDefault="00082A90" w:rsidP="004469F3">
      <w:pPr>
        <w:jc w:val="both"/>
        <w:rPr>
          <w:rFonts w:ascii="Arial" w:hAnsi="Arial" w:cs="Arial"/>
          <w:sz w:val="20"/>
          <w:szCs w:val="20"/>
        </w:rPr>
      </w:pPr>
      <w:r w:rsidRPr="00A3339C">
        <w:rPr>
          <w:rFonts w:ascii="Arial" w:hAnsi="Arial" w:cs="Arial"/>
          <w:sz w:val="20"/>
          <w:szCs w:val="20"/>
        </w:rPr>
        <w:t>Wird in einem Vergleich ein späterer Beendigungszeitpunkt für das Arbeitsverhältnis vereinbart als in der Kündigungserklärung angegeben und regeln die Parteien eine Beschäftigung oder eine Freistellung des Arbeitnehmers für den Zeitraum zwischen dem Beendigungszeitpunkt gemäß der Kündigung und dem vereinbarten Beendigungsdatum, ist der hilfsweise gestellte Weiterbeschäftigungsantrag im Verfahrenswert mit einem Bruttomonatsgehalt zu bewerten.</w:t>
      </w:r>
    </w:p>
    <w:p w:rsidR="004469F3" w:rsidRDefault="004469F3" w:rsidP="004469F3">
      <w:pPr>
        <w:jc w:val="both"/>
        <w:rPr>
          <w:rFonts w:ascii="Arial" w:hAnsi="Arial" w:cs="Arial"/>
          <w:b/>
          <w:bCs/>
          <w:sz w:val="20"/>
          <w:szCs w:val="20"/>
          <w:u w:val="single"/>
        </w:rPr>
      </w:pPr>
    </w:p>
    <w:p w:rsidR="00082A90" w:rsidRPr="00A3339C" w:rsidRDefault="00082A90" w:rsidP="004469F3">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4469F3">
      <w:pPr>
        <w:rPr>
          <w:rFonts w:ascii="Arial" w:hAnsi="Arial" w:cs="Arial"/>
          <w:sz w:val="20"/>
          <w:szCs w:val="20"/>
        </w:rPr>
      </w:pPr>
      <w:hyperlink r:id="rId19" w:tgtFrame="_blank" w:history="1">
        <w:r w:rsidR="00082A90" w:rsidRPr="00A3339C">
          <w:rPr>
            <w:rStyle w:val="Hyperlink"/>
            <w:rFonts w:ascii="Arial" w:hAnsi="Arial" w:cs="Arial"/>
            <w:color w:val="auto"/>
            <w:sz w:val="20"/>
            <w:szCs w:val="20"/>
          </w:rPr>
          <w:t>https://www.rv.hessenrecht.hessen.de/bshe/document/LARE240000771</w:t>
        </w:r>
      </w:hyperlink>
    </w:p>
    <w:p w:rsidR="004469F3" w:rsidRPr="004469F3" w:rsidRDefault="004469F3" w:rsidP="008B4AE1">
      <w:pPr>
        <w:rPr>
          <w:rFonts w:ascii="Arial" w:hAnsi="Arial" w:cs="Arial"/>
          <w:sz w:val="20"/>
          <w:szCs w:val="20"/>
        </w:rPr>
      </w:pPr>
    </w:p>
    <w:p w:rsidR="00082A90" w:rsidRPr="00A3339C" w:rsidRDefault="00082A90" w:rsidP="008B4AE1">
      <w:pPr>
        <w:jc w:val="center"/>
        <w:rPr>
          <w:rFonts w:ascii="Arial" w:hAnsi="Arial" w:cs="Arial"/>
          <w:sz w:val="20"/>
          <w:szCs w:val="20"/>
        </w:rPr>
      </w:pPr>
      <w:r w:rsidRPr="00A3339C">
        <w:rPr>
          <w:rFonts w:ascii="Arial" w:hAnsi="Arial" w:cs="Arial"/>
          <w:b/>
          <w:bCs/>
          <w:sz w:val="20"/>
          <w:szCs w:val="20"/>
          <w:u w:val="single"/>
        </w:rPr>
        <w:t>Neu eingestellte Entscheidungen des Landesarbeitsgerichts Schleswig-Holstein:</w:t>
      </w:r>
    </w:p>
    <w:p w:rsidR="008B4AE1" w:rsidRDefault="008B4AE1" w:rsidP="008B4AE1">
      <w:pPr>
        <w:rPr>
          <w:rFonts w:ascii="Arial" w:hAnsi="Arial" w:cs="Arial"/>
          <w:sz w:val="20"/>
          <w:szCs w:val="20"/>
        </w:rPr>
      </w:pPr>
    </w:p>
    <w:p w:rsidR="00082A90" w:rsidRPr="004469F3" w:rsidRDefault="00082A90" w:rsidP="008B4AE1">
      <w:pPr>
        <w:rPr>
          <w:rFonts w:ascii="Arial" w:hAnsi="Arial" w:cs="Arial"/>
          <w:sz w:val="20"/>
          <w:szCs w:val="20"/>
        </w:rPr>
      </w:pPr>
      <w:r w:rsidRPr="004469F3">
        <w:rPr>
          <w:rFonts w:ascii="Arial" w:hAnsi="Arial" w:cs="Arial"/>
          <w:sz w:val="20"/>
          <w:szCs w:val="20"/>
        </w:rPr>
        <w:t>Keine</w:t>
      </w:r>
    </w:p>
    <w:p w:rsidR="008B4AE1" w:rsidRPr="008B4AE1" w:rsidRDefault="008B4AE1" w:rsidP="008B4AE1">
      <w:pPr>
        <w:rPr>
          <w:rFonts w:ascii="Arial" w:hAnsi="Arial" w:cs="Arial"/>
          <w:bCs/>
          <w:sz w:val="20"/>
          <w:szCs w:val="20"/>
          <w:u w:val="single"/>
        </w:rPr>
      </w:pPr>
    </w:p>
    <w:p w:rsidR="00082A90" w:rsidRPr="00A3339C" w:rsidRDefault="00082A90" w:rsidP="008B4AE1">
      <w:pPr>
        <w:rPr>
          <w:rFonts w:ascii="Arial" w:hAnsi="Arial" w:cs="Arial"/>
          <w:sz w:val="20"/>
          <w:szCs w:val="20"/>
        </w:rPr>
      </w:pPr>
      <w:r w:rsidRPr="00A3339C">
        <w:rPr>
          <w:rFonts w:ascii="Arial" w:hAnsi="Arial" w:cs="Arial"/>
          <w:b/>
          <w:bCs/>
          <w:sz w:val="20"/>
          <w:szCs w:val="20"/>
          <w:u w:val="single"/>
        </w:rPr>
        <w:t>Sonstiges:</w:t>
      </w:r>
    </w:p>
    <w:p w:rsidR="004469F3" w:rsidRPr="00401E47" w:rsidRDefault="004469F3" w:rsidP="008B4AE1">
      <w:pPr>
        <w:keepNext/>
        <w:jc w:val="both"/>
        <w:rPr>
          <w:rFonts w:ascii="Arial" w:hAnsi="Arial" w:cs="Arial"/>
          <w:sz w:val="20"/>
          <w:szCs w:val="20"/>
        </w:rPr>
      </w:pPr>
    </w:p>
    <w:p w:rsidR="00082A90" w:rsidRPr="00401E47" w:rsidRDefault="00082A90" w:rsidP="008B4AE1">
      <w:pPr>
        <w:pStyle w:val="Listenabsatz"/>
        <w:keepNext/>
        <w:ind w:left="0" w:hanging="720"/>
        <w:jc w:val="center"/>
        <w:rPr>
          <w:rFonts w:ascii="Arial" w:hAnsi="Arial" w:cs="Arial"/>
          <w:b/>
        </w:rPr>
      </w:pPr>
      <w:r w:rsidRPr="00401E47">
        <w:rPr>
          <w:rFonts w:ascii="Arial" w:hAnsi="Arial" w:cs="Arial"/>
          <w:b/>
        </w:rPr>
        <w:t>I.</w:t>
      </w:r>
    </w:p>
    <w:p w:rsidR="00082A90" w:rsidRPr="00401E47" w:rsidRDefault="00082A90" w:rsidP="008B4AE1">
      <w:pPr>
        <w:jc w:val="center"/>
        <w:rPr>
          <w:rFonts w:ascii="Arial" w:hAnsi="Arial" w:cs="Arial"/>
          <w:b/>
        </w:rPr>
      </w:pPr>
      <w:r w:rsidRPr="00401E47">
        <w:rPr>
          <w:rFonts w:ascii="Arial" w:hAnsi="Arial" w:cs="Arial"/>
          <w:b/>
          <w:bCs/>
        </w:rPr>
        <w:t>Bundesgerichtshof</w:t>
      </w:r>
    </w:p>
    <w:p w:rsidR="00082A90" w:rsidRPr="00401E47" w:rsidRDefault="00082A90" w:rsidP="008B4AE1">
      <w:pPr>
        <w:jc w:val="center"/>
        <w:rPr>
          <w:rFonts w:ascii="Arial" w:hAnsi="Arial" w:cs="Arial"/>
        </w:rPr>
      </w:pPr>
      <w:r w:rsidRPr="00401E47">
        <w:rPr>
          <w:rFonts w:ascii="Arial" w:hAnsi="Arial" w:cs="Arial"/>
          <w:bCs/>
        </w:rPr>
        <w:t>Urteil vom 23. April 2024 - II ZR 99/22 – veröffentlicht am 24.06.2024</w:t>
      </w:r>
    </w:p>
    <w:p w:rsidR="00401E47" w:rsidRDefault="00401E47" w:rsidP="008B4AE1">
      <w:pPr>
        <w:jc w:val="both"/>
        <w:rPr>
          <w:rFonts w:ascii="Arial" w:hAnsi="Arial" w:cs="Arial"/>
          <w:b/>
          <w:bCs/>
          <w:sz w:val="20"/>
          <w:szCs w:val="20"/>
          <w:u w:val="single"/>
        </w:rPr>
      </w:pPr>
    </w:p>
    <w:p w:rsidR="00082A90" w:rsidRPr="00A3339C" w:rsidRDefault="00082A90" w:rsidP="008B4AE1">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8B4AE1">
      <w:pPr>
        <w:jc w:val="both"/>
        <w:rPr>
          <w:rFonts w:ascii="Arial" w:hAnsi="Arial" w:cs="Arial"/>
          <w:sz w:val="20"/>
          <w:szCs w:val="20"/>
        </w:rPr>
      </w:pPr>
      <w:r w:rsidRPr="00A3339C">
        <w:rPr>
          <w:rFonts w:ascii="Arial" w:hAnsi="Arial" w:cs="Arial"/>
          <w:b/>
          <w:bCs/>
          <w:sz w:val="20"/>
          <w:szCs w:val="20"/>
        </w:rPr>
        <w:t xml:space="preserve">BGB § 138 </w:t>
      </w:r>
      <w:proofErr w:type="spellStart"/>
      <w:r w:rsidRPr="00A3339C">
        <w:rPr>
          <w:rFonts w:ascii="Arial" w:hAnsi="Arial" w:cs="Arial"/>
          <w:b/>
          <w:bCs/>
          <w:sz w:val="20"/>
          <w:szCs w:val="20"/>
        </w:rPr>
        <w:t>Bb</w:t>
      </w:r>
      <w:proofErr w:type="spellEnd"/>
      <w:r w:rsidRPr="00A3339C">
        <w:rPr>
          <w:rFonts w:ascii="Arial" w:hAnsi="Arial" w:cs="Arial"/>
          <w:b/>
          <w:bCs/>
          <w:sz w:val="20"/>
          <w:szCs w:val="20"/>
        </w:rPr>
        <w:t>.; GmbHG § 65</w:t>
      </w:r>
    </w:p>
    <w:p w:rsidR="00082A90" w:rsidRPr="00A3339C" w:rsidRDefault="00082A90" w:rsidP="008B4AE1">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8B4AE1">
      <w:pPr>
        <w:jc w:val="both"/>
        <w:rPr>
          <w:rFonts w:ascii="Arial" w:hAnsi="Arial" w:cs="Arial"/>
          <w:sz w:val="20"/>
          <w:szCs w:val="20"/>
        </w:rPr>
      </w:pPr>
      <w:r w:rsidRPr="00A3339C">
        <w:rPr>
          <w:rFonts w:ascii="Arial" w:hAnsi="Arial" w:cs="Arial"/>
          <w:sz w:val="20"/>
          <w:szCs w:val="20"/>
        </w:rPr>
        <w:t>Zur Wirksamkeit eines mit einem GmbH-Geschäftsführer vereinbarten nachvertraglichen Wettbewerbsverbots, das bei Zuwiderhandlung den rückwirkenden Verfall einer Karenzentschädigung vorsieht.</w:t>
      </w:r>
    </w:p>
    <w:p w:rsidR="00082A90" w:rsidRPr="00A3339C" w:rsidRDefault="00082A90" w:rsidP="008B4AE1">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8B4AE1">
      <w:pPr>
        <w:rPr>
          <w:rFonts w:ascii="Arial" w:hAnsi="Arial" w:cs="Arial"/>
          <w:sz w:val="20"/>
          <w:szCs w:val="20"/>
        </w:rPr>
      </w:pPr>
      <w:hyperlink r:id="rId20" w:tgtFrame="_blank" w:history="1">
        <w:r w:rsidR="00082A90" w:rsidRPr="00A3339C">
          <w:rPr>
            <w:rStyle w:val="Hyperlink"/>
            <w:rFonts w:ascii="Arial" w:hAnsi="Arial" w:cs="Arial"/>
            <w:color w:val="auto"/>
            <w:sz w:val="20"/>
            <w:szCs w:val="20"/>
          </w:rPr>
          <w:t>https://juris.bundesgerichtshof.de/cgi-bin/rechtsprechung/document.py?Gericht=bgh&amp;Art=en&amp;Datum=Aktuell&amp;Sort=12288&amp;Seite=2&amp;nr=138046&amp;anz=1336&amp;pos=78</w:t>
        </w:r>
      </w:hyperlink>
    </w:p>
    <w:p w:rsidR="008B4AE1" w:rsidRPr="008B4AE1" w:rsidRDefault="008B4AE1" w:rsidP="008B4AE1">
      <w:pPr>
        <w:keepNext/>
        <w:jc w:val="both"/>
        <w:rPr>
          <w:rFonts w:ascii="Arial" w:hAnsi="Arial" w:cs="Arial"/>
          <w:sz w:val="20"/>
          <w:szCs w:val="20"/>
        </w:rPr>
      </w:pPr>
    </w:p>
    <w:p w:rsidR="00082A90" w:rsidRPr="008B4AE1" w:rsidRDefault="00082A90" w:rsidP="008B4AE1">
      <w:pPr>
        <w:pStyle w:val="Listenabsatz"/>
        <w:keepNext/>
        <w:ind w:left="0" w:hanging="720"/>
        <w:jc w:val="center"/>
        <w:rPr>
          <w:rFonts w:ascii="Arial" w:hAnsi="Arial" w:cs="Arial"/>
          <w:b/>
        </w:rPr>
      </w:pPr>
      <w:r w:rsidRPr="008B4AE1">
        <w:rPr>
          <w:rFonts w:ascii="Arial" w:hAnsi="Arial" w:cs="Arial"/>
          <w:b/>
        </w:rPr>
        <w:t>II.</w:t>
      </w:r>
    </w:p>
    <w:p w:rsidR="00082A90" w:rsidRPr="008B4AE1" w:rsidRDefault="00082A90" w:rsidP="008B4AE1">
      <w:pPr>
        <w:jc w:val="center"/>
        <w:rPr>
          <w:rFonts w:ascii="Arial" w:hAnsi="Arial" w:cs="Arial"/>
          <w:b/>
        </w:rPr>
      </w:pPr>
      <w:r w:rsidRPr="008B4AE1">
        <w:rPr>
          <w:rFonts w:ascii="Arial" w:hAnsi="Arial" w:cs="Arial"/>
          <w:b/>
          <w:bCs/>
        </w:rPr>
        <w:t>Schleswig-Holsteinisches Oberlandesgericht</w:t>
      </w:r>
    </w:p>
    <w:p w:rsidR="00082A90" w:rsidRPr="008B4AE1" w:rsidRDefault="00082A90" w:rsidP="008B4AE1">
      <w:pPr>
        <w:jc w:val="center"/>
        <w:rPr>
          <w:rFonts w:ascii="Arial" w:hAnsi="Arial" w:cs="Arial"/>
        </w:rPr>
      </w:pPr>
      <w:r w:rsidRPr="008B4AE1">
        <w:rPr>
          <w:rFonts w:ascii="Arial" w:hAnsi="Arial" w:cs="Arial"/>
          <w:bCs/>
        </w:rPr>
        <w:t>Beschluss vom 20.06.2024 – 7 U 10/24</w:t>
      </w:r>
    </w:p>
    <w:p w:rsidR="008B4AE1" w:rsidRDefault="008B4AE1" w:rsidP="008B4AE1">
      <w:pPr>
        <w:jc w:val="both"/>
        <w:rPr>
          <w:rFonts w:ascii="Arial" w:hAnsi="Arial" w:cs="Arial"/>
          <w:b/>
          <w:bCs/>
          <w:sz w:val="20"/>
          <w:szCs w:val="20"/>
          <w:u w:val="single"/>
        </w:rPr>
      </w:pPr>
    </w:p>
    <w:p w:rsidR="00082A90" w:rsidRPr="00A3339C" w:rsidRDefault="00082A90" w:rsidP="008B4AE1">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8B4AE1">
      <w:pPr>
        <w:jc w:val="both"/>
        <w:rPr>
          <w:rFonts w:ascii="Arial" w:hAnsi="Arial" w:cs="Arial"/>
          <w:sz w:val="20"/>
          <w:szCs w:val="20"/>
        </w:rPr>
      </w:pPr>
      <w:r w:rsidRPr="00A3339C">
        <w:rPr>
          <w:rFonts w:ascii="Arial" w:hAnsi="Arial" w:cs="Arial"/>
          <w:b/>
          <w:bCs/>
          <w:sz w:val="20"/>
          <w:szCs w:val="20"/>
        </w:rPr>
        <w:t>Zu den Anforderungen an die Darlegung des Erwerbsschadens bei selbständig tätigen Handwerkern</w:t>
      </w:r>
    </w:p>
    <w:p w:rsidR="008B4AE1" w:rsidRDefault="008B4AE1" w:rsidP="008B4AE1">
      <w:pPr>
        <w:jc w:val="both"/>
        <w:rPr>
          <w:rFonts w:ascii="Arial" w:hAnsi="Arial" w:cs="Arial"/>
          <w:b/>
          <w:bCs/>
          <w:sz w:val="20"/>
          <w:szCs w:val="20"/>
          <w:u w:val="single"/>
        </w:rPr>
      </w:pPr>
    </w:p>
    <w:p w:rsidR="00082A90" w:rsidRPr="00A3339C" w:rsidRDefault="00082A90" w:rsidP="008B4AE1">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8B4AE1">
      <w:pPr>
        <w:jc w:val="both"/>
        <w:rPr>
          <w:rFonts w:ascii="Arial" w:hAnsi="Arial" w:cs="Arial"/>
          <w:sz w:val="20"/>
          <w:szCs w:val="20"/>
        </w:rPr>
      </w:pPr>
      <w:r w:rsidRPr="00A3339C">
        <w:rPr>
          <w:rFonts w:ascii="Arial" w:hAnsi="Arial" w:cs="Arial"/>
          <w:sz w:val="20"/>
          <w:szCs w:val="20"/>
        </w:rPr>
        <w:t>1. Bei der Feststellung des Verdienstausfallschadens von selbständig Tätigen kommen dem geschädigten im Rahmen der erforderlichen Prognose der hypothetischen Geschäftsentwicklung Darlegungs- und Beweiserleichterungen nach §</w:t>
      </w:r>
      <w:r w:rsidR="008B4AE1">
        <w:rPr>
          <w:rFonts w:ascii="Arial" w:hAnsi="Arial" w:cs="Arial"/>
          <w:sz w:val="20"/>
          <w:szCs w:val="20"/>
        </w:rPr>
        <w:t xml:space="preserve"> </w:t>
      </w:r>
      <w:r w:rsidRPr="00A3339C">
        <w:rPr>
          <w:rFonts w:ascii="Arial" w:hAnsi="Arial" w:cs="Arial"/>
          <w:sz w:val="20"/>
          <w:szCs w:val="20"/>
        </w:rPr>
        <w:t>252 BGB, §</w:t>
      </w:r>
      <w:r w:rsidR="008B4AE1">
        <w:rPr>
          <w:rFonts w:ascii="Arial" w:hAnsi="Arial" w:cs="Arial"/>
          <w:sz w:val="20"/>
          <w:szCs w:val="20"/>
        </w:rPr>
        <w:t xml:space="preserve"> </w:t>
      </w:r>
      <w:r w:rsidRPr="00A3339C">
        <w:rPr>
          <w:rFonts w:ascii="Arial" w:hAnsi="Arial" w:cs="Arial"/>
          <w:sz w:val="20"/>
          <w:szCs w:val="20"/>
        </w:rPr>
        <w:t>287 ZPO.</w:t>
      </w:r>
    </w:p>
    <w:p w:rsidR="00082A90" w:rsidRPr="00A3339C" w:rsidRDefault="00082A90" w:rsidP="008B4AE1">
      <w:pPr>
        <w:jc w:val="both"/>
        <w:rPr>
          <w:rFonts w:ascii="Arial" w:hAnsi="Arial" w:cs="Arial"/>
          <w:sz w:val="20"/>
          <w:szCs w:val="20"/>
        </w:rPr>
      </w:pPr>
      <w:r w:rsidRPr="00A3339C">
        <w:rPr>
          <w:rFonts w:ascii="Arial" w:hAnsi="Arial" w:cs="Arial"/>
          <w:sz w:val="20"/>
          <w:szCs w:val="20"/>
        </w:rPr>
        <w:t>2. Es bedarf grundsätzlich konkreter Anhaltspunkte für die Schadensermittlung, um eine ausreichende Grundlage für die sachlich-rechtliche Wahrscheinlichkeitsprognose des §</w:t>
      </w:r>
      <w:r w:rsidR="008B4AE1">
        <w:rPr>
          <w:rFonts w:ascii="Arial" w:hAnsi="Arial" w:cs="Arial"/>
          <w:sz w:val="20"/>
          <w:szCs w:val="20"/>
        </w:rPr>
        <w:t xml:space="preserve"> </w:t>
      </w:r>
      <w:r w:rsidRPr="00A3339C">
        <w:rPr>
          <w:rFonts w:ascii="Arial" w:hAnsi="Arial" w:cs="Arial"/>
          <w:sz w:val="20"/>
          <w:szCs w:val="20"/>
        </w:rPr>
        <w:t>252 BGB und in der Folge für eine gerichtliche Schadensschätzung nach §</w:t>
      </w:r>
      <w:r w:rsidR="008B4AE1">
        <w:rPr>
          <w:rFonts w:ascii="Arial" w:hAnsi="Arial" w:cs="Arial"/>
          <w:sz w:val="20"/>
          <w:szCs w:val="20"/>
        </w:rPr>
        <w:t xml:space="preserve"> </w:t>
      </w:r>
      <w:r w:rsidRPr="00A3339C">
        <w:rPr>
          <w:rFonts w:ascii="Arial" w:hAnsi="Arial" w:cs="Arial"/>
          <w:sz w:val="20"/>
          <w:szCs w:val="20"/>
        </w:rPr>
        <w:t>287 ZPO zu geben.</w:t>
      </w:r>
    </w:p>
    <w:p w:rsidR="00082A90" w:rsidRPr="00A3339C" w:rsidRDefault="00082A90" w:rsidP="008B4AE1">
      <w:pPr>
        <w:jc w:val="both"/>
        <w:rPr>
          <w:rFonts w:ascii="Arial" w:hAnsi="Arial" w:cs="Arial"/>
          <w:sz w:val="20"/>
          <w:szCs w:val="20"/>
        </w:rPr>
      </w:pPr>
      <w:r w:rsidRPr="00A3339C">
        <w:rPr>
          <w:rFonts w:ascii="Arial" w:hAnsi="Arial" w:cs="Arial"/>
          <w:sz w:val="20"/>
          <w:szCs w:val="20"/>
        </w:rPr>
        <w:t xml:space="preserve">3. Die Eröffnung eines selbständigen Gewerbes, gleich welcher Branche, </w:t>
      </w:r>
      <w:proofErr w:type="gramStart"/>
      <w:r w:rsidRPr="00A3339C">
        <w:rPr>
          <w:rFonts w:ascii="Arial" w:hAnsi="Arial" w:cs="Arial"/>
          <w:sz w:val="20"/>
          <w:szCs w:val="20"/>
        </w:rPr>
        <w:t>erfordert</w:t>
      </w:r>
      <w:proofErr w:type="gramEnd"/>
      <w:r w:rsidRPr="00A3339C">
        <w:rPr>
          <w:rFonts w:ascii="Arial" w:hAnsi="Arial" w:cs="Arial"/>
          <w:sz w:val="20"/>
          <w:szCs w:val="20"/>
        </w:rPr>
        <w:t xml:space="preserve"> eine gewisse Vorbereitung und Planung, insbesondere eine Kalkulation des regelmäßigen Zeitaufwands, der zu erwartenden Einnahmen und Kosten sowie der Steuerbelastung.</w:t>
      </w:r>
    </w:p>
    <w:p w:rsidR="00082A90" w:rsidRPr="00A3339C" w:rsidRDefault="00082A90" w:rsidP="008B4AE1">
      <w:pPr>
        <w:jc w:val="both"/>
        <w:rPr>
          <w:rFonts w:ascii="Arial" w:hAnsi="Arial" w:cs="Arial"/>
          <w:sz w:val="20"/>
          <w:szCs w:val="20"/>
        </w:rPr>
      </w:pPr>
      <w:r w:rsidRPr="00A3339C">
        <w:rPr>
          <w:rFonts w:ascii="Arial" w:hAnsi="Arial" w:cs="Arial"/>
          <w:sz w:val="20"/>
          <w:szCs w:val="20"/>
        </w:rPr>
        <w:t>4. Auch wenn der Geschädigte seinen Firmensitz im Ausland (hier Dänemark) hat und unstreitig über ein eigenes Firmenfahrzeug und entsprechendes Handwerkzeug (hier Dachdeckergewerbe) verfügt, ist zur Darlegung des Verdienstausfallschadens eine betriebswirtschaftliche Kalkulation und Rechnungslegung erforderlich.</w:t>
      </w:r>
    </w:p>
    <w:p w:rsidR="00082A90" w:rsidRPr="00A3339C" w:rsidRDefault="00082A90" w:rsidP="008B4AE1">
      <w:pPr>
        <w:jc w:val="both"/>
        <w:rPr>
          <w:rFonts w:ascii="Arial" w:hAnsi="Arial" w:cs="Arial"/>
          <w:sz w:val="20"/>
          <w:szCs w:val="20"/>
        </w:rPr>
      </w:pPr>
      <w:r w:rsidRPr="00A3339C">
        <w:rPr>
          <w:rFonts w:ascii="Arial" w:hAnsi="Arial" w:cs="Arial"/>
          <w:sz w:val="20"/>
          <w:szCs w:val="20"/>
        </w:rPr>
        <w:lastRenderedPageBreak/>
        <w:t>5. Es ist nicht Aufgabe des Gerichts, den entscheidungserheblichen Sachverhalt selbst aus den eigereichten Anlagenkonvoluten zusammenzusuchen. Vielmehr obliegt es dem Geschädigten, hinreichende Anhaltspunkte für den gerichtlich geltend gemachten Erwerbsschaden vorzutragen.</w:t>
      </w:r>
    </w:p>
    <w:p w:rsidR="00082A90" w:rsidRPr="00A3339C" w:rsidRDefault="00082A90" w:rsidP="008B4AE1">
      <w:pPr>
        <w:jc w:val="both"/>
        <w:rPr>
          <w:rFonts w:ascii="Arial" w:hAnsi="Arial" w:cs="Arial"/>
          <w:sz w:val="20"/>
          <w:szCs w:val="20"/>
        </w:rPr>
      </w:pPr>
      <w:r w:rsidRPr="00A3339C">
        <w:rPr>
          <w:rFonts w:ascii="Arial" w:hAnsi="Arial" w:cs="Arial"/>
          <w:sz w:val="20"/>
          <w:szCs w:val="20"/>
        </w:rPr>
        <w:t>6. Eine Begehrensneurose lässt den Kausalzusammenhang für einen unfallbedingten psychischen Dauerschaden entfallen.</w:t>
      </w:r>
    </w:p>
    <w:p w:rsidR="008B4AE1" w:rsidRDefault="008B4AE1" w:rsidP="008B4AE1">
      <w:pPr>
        <w:jc w:val="both"/>
        <w:rPr>
          <w:rFonts w:ascii="Arial" w:hAnsi="Arial" w:cs="Arial"/>
          <w:b/>
          <w:bCs/>
          <w:sz w:val="20"/>
          <w:szCs w:val="20"/>
          <w:u w:val="single"/>
        </w:rPr>
      </w:pPr>
    </w:p>
    <w:p w:rsidR="00082A90" w:rsidRPr="00A3339C" w:rsidRDefault="00082A90" w:rsidP="008B4AE1">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8B4AE1">
      <w:pPr>
        <w:jc w:val="both"/>
        <w:rPr>
          <w:rFonts w:ascii="Arial" w:hAnsi="Arial" w:cs="Arial"/>
          <w:sz w:val="20"/>
          <w:szCs w:val="20"/>
        </w:rPr>
      </w:pPr>
      <w:hyperlink r:id="rId21" w:tgtFrame="_blank" w:history="1">
        <w:r w:rsidR="00082A90" w:rsidRPr="00A3339C">
          <w:rPr>
            <w:rStyle w:val="Hyperlink"/>
            <w:rFonts w:ascii="Arial" w:hAnsi="Arial" w:cs="Arial"/>
            <w:color w:val="auto"/>
            <w:sz w:val="20"/>
            <w:szCs w:val="20"/>
          </w:rPr>
          <w:t>https://www.gesetze-rechtsprechung.sh.juris.de/bssh/document/NJRE001578493</w:t>
        </w:r>
      </w:hyperlink>
    </w:p>
    <w:p w:rsidR="008B4AE1" w:rsidRPr="008B4AE1" w:rsidRDefault="008B4AE1" w:rsidP="008B4AE1">
      <w:pPr>
        <w:keepNext/>
        <w:jc w:val="both"/>
        <w:rPr>
          <w:rFonts w:ascii="Arial" w:hAnsi="Arial" w:cs="Arial"/>
          <w:sz w:val="20"/>
          <w:szCs w:val="20"/>
        </w:rPr>
      </w:pPr>
    </w:p>
    <w:p w:rsidR="00082A90" w:rsidRPr="008B4AE1" w:rsidRDefault="00082A90" w:rsidP="00B24EA8">
      <w:pPr>
        <w:pStyle w:val="Listenabsatz"/>
        <w:keepNext/>
        <w:ind w:left="0" w:hanging="720"/>
        <w:jc w:val="center"/>
        <w:rPr>
          <w:rFonts w:ascii="Arial" w:hAnsi="Arial" w:cs="Arial"/>
          <w:b/>
        </w:rPr>
      </w:pPr>
      <w:r w:rsidRPr="008B4AE1">
        <w:rPr>
          <w:rFonts w:ascii="Arial" w:hAnsi="Arial" w:cs="Arial"/>
          <w:b/>
        </w:rPr>
        <w:t>III.</w:t>
      </w:r>
    </w:p>
    <w:p w:rsidR="00082A90" w:rsidRPr="008B4AE1" w:rsidRDefault="00082A90" w:rsidP="00B24EA8">
      <w:pPr>
        <w:jc w:val="center"/>
        <w:rPr>
          <w:rFonts w:ascii="Arial" w:hAnsi="Arial" w:cs="Arial"/>
          <w:b/>
        </w:rPr>
      </w:pPr>
      <w:r w:rsidRPr="008B4AE1">
        <w:rPr>
          <w:rFonts w:ascii="Arial" w:hAnsi="Arial" w:cs="Arial"/>
          <w:b/>
          <w:bCs/>
        </w:rPr>
        <w:t>Landgericht München I</w:t>
      </w:r>
    </w:p>
    <w:p w:rsidR="00082A90" w:rsidRPr="008B4AE1" w:rsidRDefault="00082A90" w:rsidP="00B24EA8">
      <w:pPr>
        <w:jc w:val="center"/>
        <w:rPr>
          <w:rFonts w:ascii="Arial" w:hAnsi="Arial" w:cs="Arial"/>
        </w:rPr>
      </w:pPr>
      <w:r w:rsidRPr="008B4AE1">
        <w:rPr>
          <w:rFonts w:ascii="Arial" w:hAnsi="Arial" w:cs="Arial"/>
          <w:bCs/>
        </w:rPr>
        <w:t>Beschluss v. 12.09.2023 – 14 T 9699/23</w:t>
      </w:r>
    </w:p>
    <w:p w:rsidR="00B24EA8" w:rsidRDefault="00B24EA8" w:rsidP="00B24EA8">
      <w:pPr>
        <w:jc w:val="both"/>
        <w:rPr>
          <w:rFonts w:ascii="Arial" w:hAnsi="Arial" w:cs="Arial"/>
          <w:b/>
          <w:bCs/>
          <w:sz w:val="20"/>
          <w:szCs w:val="20"/>
          <w:u w:val="single"/>
        </w:rPr>
      </w:pPr>
    </w:p>
    <w:p w:rsidR="00082A90" w:rsidRPr="00A3339C" w:rsidRDefault="00082A90" w:rsidP="00B24EA8">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B24EA8">
      <w:pPr>
        <w:jc w:val="both"/>
        <w:rPr>
          <w:rFonts w:ascii="Arial" w:hAnsi="Arial" w:cs="Arial"/>
          <w:sz w:val="20"/>
          <w:szCs w:val="20"/>
        </w:rPr>
      </w:pPr>
      <w:r w:rsidRPr="00A3339C">
        <w:rPr>
          <w:rFonts w:ascii="Arial" w:hAnsi="Arial" w:cs="Arial"/>
          <w:b/>
          <w:bCs/>
          <w:sz w:val="20"/>
          <w:szCs w:val="20"/>
        </w:rPr>
        <w:t>Barrierefreier Zugang zu Gerichtsdokumenten für Sehbehinderte</w:t>
      </w:r>
    </w:p>
    <w:p w:rsidR="00B24EA8" w:rsidRDefault="00B24EA8" w:rsidP="00B24EA8">
      <w:pPr>
        <w:jc w:val="both"/>
        <w:rPr>
          <w:rFonts w:ascii="Arial" w:hAnsi="Arial" w:cs="Arial"/>
          <w:b/>
          <w:bCs/>
          <w:sz w:val="20"/>
          <w:szCs w:val="20"/>
          <w:u w:val="single"/>
        </w:rPr>
      </w:pPr>
    </w:p>
    <w:p w:rsidR="00082A90" w:rsidRPr="00A3339C" w:rsidRDefault="00082A90" w:rsidP="00B24EA8">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B24EA8">
      <w:pPr>
        <w:jc w:val="both"/>
        <w:rPr>
          <w:rFonts w:ascii="Arial" w:hAnsi="Arial" w:cs="Arial"/>
          <w:sz w:val="20"/>
          <w:szCs w:val="20"/>
        </w:rPr>
      </w:pPr>
      <w:r w:rsidRPr="00A3339C">
        <w:rPr>
          <w:rFonts w:ascii="Arial" w:hAnsi="Arial" w:cs="Arial"/>
          <w:sz w:val="20"/>
          <w:szCs w:val="20"/>
        </w:rPr>
        <w:t>1. Behinderte müssen gerichtliche Schriftsätze und Dokumente barrierefrei erhalten, also durch solche Kommunikationseinrichtungen und -wege, die für behinderte Menschen in der allgemein zugänglichen Weise, ohne besondere Erschwernis und grundsätzlich ohne fremde Hilfe zugänglich und nutzbar sind. (</w:t>
      </w:r>
      <w:proofErr w:type="spellStart"/>
      <w:r w:rsidRPr="00A3339C">
        <w:rPr>
          <w:rFonts w:ascii="Arial" w:hAnsi="Arial" w:cs="Arial"/>
          <w:sz w:val="20"/>
          <w:szCs w:val="20"/>
        </w:rPr>
        <w:t>Rn</w:t>
      </w:r>
      <w:proofErr w:type="spellEnd"/>
      <w:r w:rsidRPr="00A3339C">
        <w:rPr>
          <w:rFonts w:ascii="Arial" w:hAnsi="Arial" w:cs="Arial"/>
          <w:sz w:val="20"/>
          <w:szCs w:val="20"/>
        </w:rPr>
        <w:t>. 28) (redaktioneller Leitsatz)</w:t>
      </w:r>
    </w:p>
    <w:p w:rsidR="00082A90" w:rsidRPr="00A3339C" w:rsidRDefault="00082A90" w:rsidP="00B24EA8">
      <w:pPr>
        <w:jc w:val="both"/>
        <w:rPr>
          <w:rFonts w:ascii="Arial" w:hAnsi="Arial" w:cs="Arial"/>
          <w:sz w:val="20"/>
          <w:szCs w:val="20"/>
        </w:rPr>
      </w:pPr>
      <w:r w:rsidRPr="00A3339C">
        <w:rPr>
          <w:rFonts w:ascii="Arial" w:hAnsi="Arial" w:cs="Arial"/>
          <w:sz w:val="20"/>
          <w:szCs w:val="20"/>
        </w:rPr>
        <w:t>2. Der barrierefreier Zugang kann nicht dadurch ersetzt werden, dass die Partei für den Zugang zu den Prozessunterlagen auf eine Vermittlung durch ihren (sehenden) Rechtsanwalt verwiesen wird (entgegen BVerfG BeckRS 2014, 57736; BGH BeckRS 2013, 03740; BeckRS 2014, 01455). (</w:t>
      </w:r>
      <w:proofErr w:type="spellStart"/>
      <w:r w:rsidRPr="00A3339C">
        <w:rPr>
          <w:rFonts w:ascii="Arial" w:hAnsi="Arial" w:cs="Arial"/>
          <w:sz w:val="20"/>
          <w:szCs w:val="20"/>
        </w:rPr>
        <w:t>Rn</w:t>
      </w:r>
      <w:proofErr w:type="spellEnd"/>
      <w:r w:rsidRPr="00A3339C">
        <w:rPr>
          <w:rFonts w:ascii="Arial" w:hAnsi="Arial" w:cs="Arial"/>
          <w:sz w:val="20"/>
          <w:szCs w:val="20"/>
        </w:rPr>
        <w:t>. 30 – 40) (redaktioneller Leitsatz)</w:t>
      </w:r>
    </w:p>
    <w:p w:rsidR="00082A90" w:rsidRPr="00A3339C" w:rsidRDefault="00082A90" w:rsidP="00B24EA8">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B24EA8">
      <w:pPr>
        <w:rPr>
          <w:rFonts w:ascii="Arial" w:hAnsi="Arial" w:cs="Arial"/>
          <w:sz w:val="20"/>
          <w:szCs w:val="20"/>
        </w:rPr>
      </w:pPr>
      <w:hyperlink r:id="rId22" w:tgtFrame="_blank" w:history="1">
        <w:r w:rsidR="00082A90" w:rsidRPr="00A3339C">
          <w:rPr>
            <w:rStyle w:val="Hyperlink"/>
            <w:rFonts w:ascii="Arial" w:hAnsi="Arial" w:cs="Arial"/>
            <w:color w:val="auto"/>
            <w:sz w:val="20"/>
            <w:szCs w:val="20"/>
          </w:rPr>
          <w:t>https://www.gesetze-bayern.de/Content/Document/Y-300-Z-BECKRS-B-2023-N-24312?hl=true</w:t>
        </w:r>
      </w:hyperlink>
    </w:p>
    <w:p w:rsidR="00B24EA8" w:rsidRPr="00B24EA8" w:rsidRDefault="00B24EA8" w:rsidP="00B24EA8">
      <w:pPr>
        <w:keepNext/>
        <w:jc w:val="both"/>
        <w:rPr>
          <w:rFonts w:ascii="Arial" w:hAnsi="Arial" w:cs="Arial"/>
          <w:sz w:val="20"/>
          <w:szCs w:val="20"/>
        </w:rPr>
      </w:pPr>
    </w:p>
    <w:p w:rsidR="00082A90" w:rsidRPr="00B24EA8" w:rsidRDefault="00082A90" w:rsidP="00B24EA8">
      <w:pPr>
        <w:pStyle w:val="Listenabsatz"/>
        <w:keepNext/>
        <w:ind w:left="0" w:hanging="720"/>
        <w:jc w:val="center"/>
        <w:rPr>
          <w:rFonts w:ascii="Arial" w:hAnsi="Arial" w:cs="Arial"/>
          <w:b/>
        </w:rPr>
      </w:pPr>
      <w:r w:rsidRPr="00B24EA8">
        <w:rPr>
          <w:rFonts w:ascii="Arial" w:hAnsi="Arial" w:cs="Arial"/>
          <w:b/>
        </w:rPr>
        <w:t>IV.</w:t>
      </w:r>
    </w:p>
    <w:p w:rsidR="00082A90" w:rsidRPr="00B24EA8" w:rsidRDefault="00082A90" w:rsidP="00B24EA8">
      <w:pPr>
        <w:jc w:val="center"/>
        <w:rPr>
          <w:rFonts w:ascii="Arial" w:hAnsi="Arial" w:cs="Arial"/>
          <w:b/>
        </w:rPr>
      </w:pPr>
      <w:r w:rsidRPr="00B24EA8">
        <w:rPr>
          <w:rFonts w:ascii="Arial" w:hAnsi="Arial" w:cs="Arial"/>
          <w:b/>
          <w:bCs/>
        </w:rPr>
        <w:t>Bundesfinanzhof</w:t>
      </w:r>
    </w:p>
    <w:p w:rsidR="00082A90" w:rsidRPr="00B24EA8" w:rsidRDefault="00082A90" w:rsidP="00B24EA8">
      <w:pPr>
        <w:jc w:val="center"/>
        <w:rPr>
          <w:rFonts w:ascii="Arial" w:hAnsi="Arial" w:cs="Arial"/>
        </w:rPr>
      </w:pPr>
      <w:r w:rsidRPr="00B24EA8">
        <w:rPr>
          <w:rFonts w:ascii="Arial" w:hAnsi="Arial" w:cs="Arial"/>
          <w:bCs/>
        </w:rPr>
        <w:t>Urteil vom 11. April 2024, VI R 1/22 – veröffentlicht am 20.06.2024</w:t>
      </w:r>
    </w:p>
    <w:p w:rsidR="00B24EA8" w:rsidRDefault="00B24EA8" w:rsidP="00B24EA8">
      <w:pPr>
        <w:jc w:val="both"/>
        <w:rPr>
          <w:rFonts w:ascii="Arial" w:hAnsi="Arial" w:cs="Arial"/>
          <w:b/>
          <w:bCs/>
          <w:sz w:val="20"/>
          <w:szCs w:val="20"/>
          <w:u w:val="single"/>
        </w:rPr>
      </w:pPr>
    </w:p>
    <w:p w:rsidR="00082A90" w:rsidRPr="00A3339C" w:rsidRDefault="00082A90" w:rsidP="00B24EA8">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B24EA8">
      <w:pPr>
        <w:jc w:val="both"/>
        <w:rPr>
          <w:rFonts w:ascii="Arial" w:hAnsi="Arial" w:cs="Arial"/>
          <w:sz w:val="20"/>
          <w:szCs w:val="20"/>
        </w:rPr>
      </w:pPr>
      <w:r w:rsidRPr="00A3339C">
        <w:rPr>
          <w:rFonts w:ascii="Arial" w:hAnsi="Arial" w:cs="Arial"/>
          <w:b/>
          <w:bCs/>
          <w:sz w:val="20"/>
          <w:szCs w:val="20"/>
        </w:rPr>
        <w:t>Steuerfreie Zuschläge bei Bereitschaftsdiensten</w:t>
      </w:r>
    </w:p>
    <w:p w:rsidR="00B24EA8" w:rsidRDefault="00B24EA8" w:rsidP="00B24EA8">
      <w:pPr>
        <w:jc w:val="both"/>
        <w:rPr>
          <w:rFonts w:ascii="Arial" w:hAnsi="Arial" w:cs="Arial"/>
          <w:b/>
          <w:bCs/>
          <w:sz w:val="20"/>
          <w:szCs w:val="20"/>
          <w:u w:val="single"/>
        </w:rPr>
      </w:pPr>
    </w:p>
    <w:p w:rsidR="00082A90" w:rsidRPr="00A3339C" w:rsidRDefault="00082A90" w:rsidP="00B24EA8">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B24EA8">
      <w:pPr>
        <w:jc w:val="both"/>
        <w:rPr>
          <w:rFonts w:ascii="Arial" w:hAnsi="Arial" w:cs="Arial"/>
          <w:sz w:val="20"/>
          <w:szCs w:val="20"/>
        </w:rPr>
      </w:pPr>
      <w:r w:rsidRPr="00A3339C">
        <w:rPr>
          <w:rFonts w:ascii="Arial" w:hAnsi="Arial" w:cs="Arial"/>
          <w:sz w:val="20"/>
          <w:szCs w:val="20"/>
        </w:rPr>
        <w:t xml:space="preserve">1. Die Steuerfreiheit von Zuschlägen für Bereitschaftsdienste, die außerhalb der regelmäßigen Arbeitszeit erbracht und gesondert vergütet werden, bemisst sich nach dem Arbeitslohn für die regelmäßige Arbeitszeit und nicht nach dem Bereitschaftsdienstentgelt (entgegen Senatsurteil vom 27.08.2002 - VI R 64/96, BFHE 200, 240, </w:t>
      </w:r>
      <w:proofErr w:type="spellStart"/>
      <w:r w:rsidRPr="00A3339C">
        <w:rPr>
          <w:rFonts w:ascii="Arial" w:hAnsi="Arial" w:cs="Arial"/>
          <w:sz w:val="20"/>
          <w:szCs w:val="20"/>
        </w:rPr>
        <w:t>BStBl</w:t>
      </w:r>
      <w:proofErr w:type="spellEnd"/>
      <w:r w:rsidRPr="00A3339C">
        <w:rPr>
          <w:rFonts w:ascii="Arial" w:hAnsi="Arial" w:cs="Arial"/>
          <w:sz w:val="20"/>
          <w:szCs w:val="20"/>
        </w:rPr>
        <w:t xml:space="preserve"> II 2002, 883).</w:t>
      </w:r>
    </w:p>
    <w:p w:rsidR="00B24EA8" w:rsidRDefault="00B24EA8" w:rsidP="00B24EA8">
      <w:pPr>
        <w:jc w:val="both"/>
        <w:rPr>
          <w:rFonts w:ascii="Arial" w:hAnsi="Arial" w:cs="Arial"/>
          <w:sz w:val="20"/>
          <w:szCs w:val="20"/>
        </w:rPr>
      </w:pPr>
    </w:p>
    <w:p w:rsidR="00082A90" w:rsidRPr="00A3339C" w:rsidRDefault="00082A90" w:rsidP="00B24EA8">
      <w:pPr>
        <w:jc w:val="both"/>
        <w:rPr>
          <w:rFonts w:ascii="Arial" w:hAnsi="Arial" w:cs="Arial"/>
          <w:sz w:val="20"/>
          <w:szCs w:val="20"/>
        </w:rPr>
      </w:pPr>
      <w:r w:rsidRPr="00A3339C">
        <w:rPr>
          <w:rFonts w:ascii="Arial" w:hAnsi="Arial" w:cs="Arial"/>
          <w:sz w:val="20"/>
          <w:szCs w:val="20"/>
        </w:rPr>
        <w:t xml:space="preserve">2. Nicht erforderlich ist, dass der Arbeitnehmer für die zuschlagsbewehrte Tätigkeit neben den Erschwerniszuschlägen einen Anspruch auf Grundlohn hat. </w:t>
      </w:r>
    </w:p>
    <w:p w:rsidR="00B24EA8" w:rsidRDefault="00B24EA8" w:rsidP="00B24EA8">
      <w:pPr>
        <w:jc w:val="both"/>
        <w:rPr>
          <w:rFonts w:ascii="Arial" w:hAnsi="Arial" w:cs="Arial"/>
          <w:b/>
          <w:bCs/>
          <w:sz w:val="20"/>
          <w:szCs w:val="20"/>
          <w:u w:val="single"/>
        </w:rPr>
      </w:pPr>
    </w:p>
    <w:p w:rsidR="00082A90" w:rsidRPr="00A3339C" w:rsidRDefault="00082A90" w:rsidP="00B24EA8">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B24EA8">
      <w:pPr>
        <w:rPr>
          <w:rFonts w:ascii="Arial" w:hAnsi="Arial" w:cs="Arial"/>
          <w:sz w:val="20"/>
          <w:szCs w:val="20"/>
        </w:rPr>
      </w:pPr>
      <w:hyperlink r:id="rId23" w:tgtFrame="_blank" w:history="1">
        <w:r w:rsidR="00082A90" w:rsidRPr="00A3339C">
          <w:rPr>
            <w:rStyle w:val="Hyperlink"/>
            <w:rFonts w:ascii="Arial" w:hAnsi="Arial" w:cs="Arial"/>
            <w:color w:val="auto"/>
            <w:sz w:val="20"/>
            <w:szCs w:val="20"/>
          </w:rPr>
          <w:t>https://www.bundesfinanzhof.de/de/entscheidung/entscheidungen-online/detail/STRE202410106/</w:t>
        </w:r>
      </w:hyperlink>
    </w:p>
    <w:p w:rsidR="00B24EA8" w:rsidRPr="00B24EA8" w:rsidRDefault="00B24EA8" w:rsidP="00B24EA8">
      <w:pPr>
        <w:keepNext/>
        <w:jc w:val="both"/>
        <w:rPr>
          <w:rFonts w:ascii="Arial" w:hAnsi="Arial" w:cs="Arial"/>
          <w:sz w:val="20"/>
          <w:szCs w:val="20"/>
        </w:rPr>
      </w:pPr>
    </w:p>
    <w:p w:rsidR="00082A90" w:rsidRPr="00B24EA8" w:rsidRDefault="00082A90" w:rsidP="0051665B">
      <w:pPr>
        <w:pStyle w:val="Listenabsatz"/>
        <w:keepNext/>
        <w:ind w:left="0" w:hanging="720"/>
        <w:jc w:val="center"/>
        <w:rPr>
          <w:rFonts w:ascii="Arial" w:hAnsi="Arial" w:cs="Arial"/>
          <w:b/>
        </w:rPr>
      </w:pPr>
      <w:r w:rsidRPr="00B24EA8">
        <w:rPr>
          <w:rFonts w:ascii="Arial" w:hAnsi="Arial" w:cs="Arial"/>
          <w:b/>
        </w:rPr>
        <w:t>V.</w:t>
      </w:r>
    </w:p>
    <w:p w:rsidR="00082A90" w:rsidRPr="00B24EA8" w:rsidRDefault="00082A90" w:rsidP="0051665B">
      <w:pPr>
        <w:jc w:val="center"/>
        <w:rPr>
          <w:rFonts w:ascii="Arial" w:hAnsi="Arial" w:cs="Arial"/>
          <w:b/>
        </w:rPr>
      </w:pPr>
      <w:r w:rsidRPr="00B24EA8">
        <w:rPr>
          <w:rFonts w:ascii="Arial" w:hAnsi="Arial" w:cs="Arial"/>
          <w:b/>
          <w:bCs/>
        </w:rPr>
        <w:t>Bundesfinanzhof</w:t>
      </w:r>
    </w:p>
    <w:p w:rsidR="00082A90" w:rsidRPr="00B24EA8" w:rsidRDefault="00082A90" w:rsidP="0051665B">
      <w:pPr>
        <w:jc w:val="center"/>
        <w:rPr>
          <w:rFonts w:ascii="Arial" w:hAnsi="Arial" w:cs="Arial"/>
        </w:rPr>
      </w:pPr>
      <w:r w:rsidRPr="00B24EA8">
        <w:rPr>
          <w:rFonts w:ascii="Arial" w:hAnsi="Arial" w:cs="Arial"/>
          <w:bCs/>
        </w:rPr>
        <w:t>Beschluss vom 04. Juni 2024, VIII B 7/23 – veröffentlicht am 20.06.2024</w:t>
      </w:r>
    </w:p>
    <w:p w:rsidR="00B24EA8" w:rsidRDefault="00B24EA8" w:rsidP="0051665B">
      <w:pPr>
        <w:jc w:val="both"/>
        <w:rPr>
          <w:rFonts w:ascii="Arial" w:hAnsi="Arial" w:cs="Arial"/>
          <w:b/>
          <w:bCs/>
          <w:sz w:val="20"/>
          <w:szCs w:val="20"/>
          <w:u w:val="single"/>
        </w:rPr>
      </w:pPr>
    </w:p>
    <w:p w:rsidR="00082A90" w:rsidRPr="00A3339C" w:rsidRDefault="00082A90" w:rsidP="0051665B">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51665B">
      <w:pPr>
        <w:jc w:val="both"/>
        <w:rPr>
          <w:rFonts w:ascii="Arial" w:hAnsi="Arial" w:cs="Arial"/>
          <w:sz w:val="20"/>
          <w:szCs w:val="20"/>
        </w:rPr>
      </w:pPr>
      <w:r w:rsidRPr="00A3339C">
        <w:rPr>
          <w:rFonts w:ascii="Arial" w:hAnsi="Arial" w:cs="Arial"/>
          <w:b/>
          <w:bCs/>
          <w:sz w:val="20"/>
          <w:szCs w:val="20"/>
        </w:rPr>
        <w:t>Tätigkeit eines staatlich anerkannten Sozialpädagogen im Bereich der Eingliederungshilfe ist keine sonstige selbständige Tätigkeit</w:t>
      </w:r>
    </w:p>
    <w:p w:rsidR="00B24EA8" w:rsidRDefault="00B24EA8" w:rsidP="0051665B">
      <w:pPr>
        <w:jc w:val="both"/>
        <w:rPr>
          <w:rFonts w:ascii="Arial" w:hAnsi="Arial" w:cs="Arial"/>
          <w:b/>
          <w:bCs/>
          <w:sz w:val="20"/>
          <w:szCs w:val="20"/>
          <w:u w:val="single"/>
        </w:rPr>
      </w:pPr>
    </w:p>
    <w:p w:rsidR="00082A90" w:rsidRPr="00A3339C" w:rsidRDefault="00082A90" w:rsidP="0051665B">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51665B">
      <w:pPr>
        <w:jc w:val="both"/>
        <w:rPr>
          <w:rFonts w:ascii="Arial" w:hAnsi="Arial" w:cs="Arial"/>
          <w:sz w:val="20"/>
          <w:szCs w:val="20"/>
        </w:rPr>
      </w:pPr>
      <w:r w:rsidRPr="00A3339C">
        <w:rPr>
          <w:rFonts w:ascii="Arial" w:hAnsi="Arial" w:cs="Arial"/>
          <w:sz w:val="20"/>
          <w:szCs w:val="20"/>
        </w:rPr>
        <w:t xml:space="preserve">1. NV: Es ist durch die Rechtsprechung des Bundesfinanzhofs geklärt, dass ein Steuerpflichtiger Einkünfte aus sonstiger selbständiger Tätigkeit gemäß § 18 Abs. 1 Nr. 3 des Einkommensteuergesetzes (EStG) erzielt, wenn die Tätigkeit ihrer Art nach den Regelbeispielen des § 18 Abs. 1 Nr. 3 EStG ähnlich </w:t>
      </w:r>
      <w:r w:rsidRPr="00A3339C">
        <w:rPr>
          <w:rFonts w:ascii="Arial" w:hAnsi="Arial" w:cs="Arial"/>
          <w:sz w:val="20"/>
          <w:szCs w:val="20"/>
        </w:rPr>
        <w:lastRenderedPageBreak/>
        <w:t>ist (Grundsatz der sogenannten Gruppenähnlichkeit). Des Weiteren ist geklärt, dass eine Tätigkeit den Regelbeispielen in § 18 Abs. 1 Nr. 3 EStG ähnlich ist, wenn die Tätigkeit berufsbildtypisch durch eine selbständige fremdnützige Tätigkeit in einem fremden Geschäftskreis sowie durch Aufgaben der Vermögensverwaltung geprägt ist.</w:t>
      </w:r>
    </w:p>
    <w:p w:rsidR="00B24EA8" w:rsidRDefault="00B24EA8" w:rsidP="0051665B">
      <w:pPr>
        <w:jc w:val="both"/>
        <w:rPr>
          <w:rFonts w:ascii="Arial" w:hAnsi="Arial" w:cs="Arial"/>
          <w:sz w:val="20"/>
          <w:szCs w:val="20"/>
        </w:rPr>
      </w:pPr>
    </w:p>
    <w:p w:rsidR="00082A90" w:rsidRPr="00A3339C" w:rsidRDefault="00082A90" w:rsidP="0051665B">
      <w:pPr>
        <w:jc w:val="both"/>
        <w:rPr>
          <w:rFonts w:ascii="Arial" w:hAnsi="Arial" w:cs="Arial"/>
          <w:sz w:val="20"/>
          <w:szCs w:val="20"/>
        </w:rPr>
      </w:pPr>
      <w:r w:rsidRPr="00A3339C">
        <w:rPr>
          <w:rFonts w:ascii="Arial" w:hAnsi="Arial" w:cs="Arial"/>
          <w:sz w:val="20"/>
          <w:szCs w:val="20"/>
        </w:rPr>
        <w:t>2. NV: Dies ist bei einer den Lebensalltag durch Beratungsleistungen unterstützenden sozialpädagogischen Tätigkeit im Rahmen der Eingliederungshilfe regelmäßig nicht der Fall.</w:t>
      </w:r>
    </w:p>
    <w:p w:rsidR="00B24EA8" w:rsidRDefault="00B24EA8" w:rsidP="0051665B">
      <w:pPr>
        <w:jc w:val="both"/>
        <w:rPr>
          <w:rFonts w:ascii="Arial" w:hAnsi="Arial" w:cs="Arial"/>
          <w:b/>
          <w:bCs/>
          <w:sz w:val="20"/>
          <w:szCs w:val="20"/>
          <w:u w:val="single"/>
        </w:rPr>
      </w:pPr>
    </w:p>
    <w:p w:rsidR="00082A90" w:rsidRPr="00A3339C" w:rsidRDefault="00082A90" w:rsidP="0051665B">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51665B">
      <w:pPr>
        <w:rPr>
          <w:rFonts w:ascii="Arial" w:hAnsi="Arial" w:cs="Arial"/>
          <w:sz w:val="20"/>
          <w:szCs w:val="20"/>
        </w:rPr>
      </w:pPr>
      <w:hyperlink r:id="rId24" w:tgtFrame="_blank" w:history="1">
        <w:r w:rsidR="00082A90" w:rsidRPr="00A3339C">
          <w:rPr>
            <w:rStyle w:val="Hyperlink"/>
            <w:rFonts w:ascii="Arial" w:hAnsi="Arial" w:cs="Arial"/>
            <w:color w:val="auto"/>
            <w:sz w:val="20"/>
            <w:szCs w:val="20"/>
          </w:rPr>
          <w:t>https://www.bundesfinanzhof.de/de/entscheidung/entscheidungen-online/detail/STRE202450098/</w:t>
        </w:r>
      </w:hyperlink>
    </w:p>
    <w:p w:rsidR="00B24EA8" w:rsidRPr="00B24EA8" w:rsidRDefault="00B24EA8" w:rsidP="0051665B">
      <w:pPr>
        <w:keepNext/>
        <w:jc w:val="both"/>
        <w:rPr>
          <w:rFonts w:ascii="Arial" w:hAnsi="Arial" w:cs="Arial"/>
          <w:sz w:val="20"/>
          <w:szCs w:val="20"/>
        </w:rPr>
      </w:pPr>
    </w:p>
    <w:p w:rsidR="00082A90" w:rsidRPr="0051665B" w:rsidRDefault="00082A90" w:rsidP="0051665B">
      <w:pPr>
        <w:pStyle w:val="Listenabsatz"/>
        <w:keepNext/>
        <w:ind w:left="0" w:hanging="720"/>
        <w:jc w:val="center"/>
        <w:rPr>
          <w:rFonts w:ascii="Arial" w:hAnsi="Arial" w:cs="Arial"/>
          <w:b/>
        </w:rPr>
      </w:pPr>
      <w:r w:rsidRPr="0051665B">
        <w:rPr>
          <w:rFonts w:ascii="Arial" w:hAnsi="Arial" w:cs="Arial"/>
          <w:b/>
        </w:rPr>
        <w:t>VI.</w:t>
      </w:r>
    </w:p>
    <w:p w:rsidR="00082A90" w:rsidRPr="0051665B" w:rsidRDefault="00082A90" w:rsidP="0051665B">
      <w:pPr>
        <w:jc w:val="center"/>
        <w:rPr>
          <w:rFonts w:ascii="Arial" w:hAnsi="Arial" w:cs="Arial"/>
          <w:b/>
        </w:rPr>
      </w:pPr>
      <w:r w:rsidRPr="0051665B">
        <w:rPr>
          <w:rFonts w:ascii="Arial" w:hAnsi="Arial" w:cs="Arial"/>
          <w:b/>
          <w:bCs/>
        </w:rPr>
        <w:t>Bundesfinanzhof</w:t>
      </w:r>
    </w:p>
    <w:p w:rsidR="00082A90" w:rsidRPr="0051665B" w:rsidRDefault="00082A90" w:rsidP="0051665B">
      <w:pPr>
        <w:jc w:val="center"/>
        <w:rPr>
          <w:rFonts w:ascii="Arial" w:hAnsi="Arial" w:cs="Arial"/>
        </w:rPr>
      </w:pPr>
      <w:r w:rsidRPr="0051665B">
        <w:rPr>
          <w:rFonts w:ascii="Arial" w:hAnsi="Arial" w:cs="Arial"/>
          <w:bCs/>
        </w:rPr>
        <w:t>Urteil vom 05. Juni 2024, VI R 20/22 – veröffentlicht am 5.07.2024</w:t>
      </w:r>
    </w:p>
    <w:p w:rsidR="0051665B" w:rsidRDefault="0051665B" w:rsidP="0051665B">
      <w:pPr>
        <w:jc w:val="both"/>
        <w:rPr>
          <w:rFonts w:ascii="Arial" w:hAnsi="Arial" w:cs="Arial"/>
          <w:b/>
          <w:bCs/>
          <w:sz w:val="20"/>
          <w:szCs w:val="20"/>
          <w:u w:val="single"/>
        </w:rPr>
      </w:pPr>
    </w:p>
    <w:p w:rsidR="00082A90" w:rsidRPr="00A3339C" w:rsidRDefault="00082A90" w:rsidP="0051665B">
      <w:pPr>
        <w:jc w:val="both"/>
        <w:rPr>
          <w:rFonts w:ascii="Arial" w:hAnsi="Arial" w:cs="Arial"/>
          <w:sz w:val="20"/>
          <w:szCs w:val="20"/>
        </w:rPr>
      </w:pPr>
      <w:r w:rsidRPr="00A3339C">
        <w:rPr>
          <w:rFonts w:ascii="Arial" w:hAnsi="Arial" w:cs="Arial"/>
          <w:b/>
          <w:bCs/>
          <w:sz w:val="20"/>
          <w:szCs w:val="20"/>
          <w:u w:val="single"/>
        </w:rPr>
        <w:t>Schlagworte/Normen:</w:t>
      </w:r>
    </w:p>
    <w:p w:rsidR="00082A90" w:rsidRPr="00A3339C" w:rsidRDefault="00082A90" w:rsidP="0051665B">
      <w:pPr>
        <w:jc w:val="both"/>
        <w:rPr>
          <w:rFonts w:ascii="Arial" w:hAnsi="Arial" w:cs="Arial"/>
          <w:sz w:val="20"/>
          <w:szCs w:val="20"/>
        </w:rPr>
      </w:pPr>
      <w:r w:rsidRPr="00A3339C">
        <w:rPr>
          <w:rFonts w:ascii="Arial" w:hAnsi="Arial" w:cs="Arial"/>
          <w:b/>
          <w:bCs/>
          <w:sz w:val="20"/>
          <w:szCs w:val="20"/>
        </w:rPr>
        <w:t>Zufluss nicht ausgezahlter Tantiemen bei beherrschendem Gesellschafter-Geschäftsführer</w:t>
      </w:r>
    </w:p>
    <w:p w:rsidR="00082A90" w:rsidRPr="00A3339C" w:rsidRDefault="00082A90" w:rsidP="0051665B">
      <w:pPr>
        <w:jc w:val="both"/>
        <w:rPr>
          <w:rFonts w:ascii="Arial" w:hAnsi="Arial" w:cs="Arial"/>
          <w:sz w:val="20"/>
          <w:szCs w:val="20"/>
        </w:rPr>
      </w:pPr>
      <w:r w:rsidRPr="00A3339C">
        <w:rPr>
          <w:rFonts w:ascii="Arial" w:hAnsi="Arial" w:cs="Arial"/>
          <w:b/>
          <w:bCs/>
          <w:sz w:val="20"/>
          <w:szCs w:val="20"/>
          <w:u w:val="single"/>
        </w:rPr>
        <w:t>Leitsätze:</w:t>
      </w:r>
    </w:p>
    <w:p w:rsidR="00082A90" w:rsidRPr="00A3339C" w:rsidRDefault="00082A90" w:rsidP="0051665B">
      <w:pPr>
        <w:jc w:val="both"/>
        <w:rPr>
          <w:rFonts w:ascii="Arial" w:hAnsi="Arial" w:cs="Arial"/>
          <w:sz w:val="20"/>
          <w:szCs w:val="20"/>
        </w:rPr>
      </w:pPr>
      <w:r w:rsidRPr="00A3339C">
        <w:rPr>
          <w:rFonts w:ascii="Arial" w:hAnsi="Arial" w:cs="Arial"/>
          <w:sz w:val="20"/>
          <w:szCs w:val="20"/>
        </w:rPr>
        <w:t xml:space="preserve">1. Einem beherrschenden Gesellschafter-Geschäftsführer fließen Einnahmen aus </w:t>
      </w:r>
      <w:proofErr w:type="spellStart"/>
      <w:r w:rsidRPr="00A3339C">
        <w:rPr>
          <w:rFonts w:ascii="Arial" w:hAnsi="Arial" w:cs="Arial"/>
          <w:sz w:val="20"/>
          <w:szCs w:val="20"/>
        </w:rPr>
        <w:t>Tantiemeforderungen</w:t>
      </w:r>
      <w:proofErr w:type="spellEnd"/>
      <w:r w:rsidRPr="00A3339C">
        <w:rPr>
          <w:rFonts w:ascii="Arial" w:hAnsi="Arial" w:cs="Arial"/>
          <w:sz w:val="20"/>
          <w:szCs w:val="20"/>
        </w:rPr>
        <w:t xml:space="preserve"> gegen seine Kapitalgesellschaft bereits bei Fälligkeit zu (Bestätigung der ständigen Rechtsprechung).</w:t>
      </w:r>
    </w:p>
    <w:p w:rsidR="0051665B" w:rsidRDefault="0051665B" w:rsidP="0051665B">
      <w:pPr>
        <w:jc w:val="both"/>
        <w:rPr>
          <w:rFonts w:ascii="Arial" w:hAnsi="Arial" w:cs="Arial"/>
          <w:sz w:val="20"/>
          <w:szCs w:val="20"/>
        </w:rPr>
      </w:pPr>
    </w:p>
    <w:p w:rsidR="00082A90" w:rsidRPr="00A3339C" w:rsidRDefault="00082A90" w:rsidP="0051665B">
      <w:pPr>
        <w:jc w:val="both"/>
        <w:rPr>
          <w:rFonts w:ascii="Arial" w:hAnsi="Arial" w:cs="Arial"/>
          <w:sz w:val="20"/>
          <w:szCs w:val="20"/>
        </w:rPr>
      </w:pPr>
      <w:r w:rsidRPr="00A3339C">
        <w:rPr>
          <w:rFonts w:ascii="Arial" w:hAnsi="Arial" w:cs="Arial"/>
          <w:sz w:val="20"/>
          <w:szCs w:val="20"/>
        </w:rPr>
        <w:t xml:space="preserve">2. Fällig wird der </w:t>
      </w:r>
      <w:proofErr w:type="spellStart"/>
      <w:r w:rsidRPr="00A3339C">
        <w:rPr>
          <w:rFonts w:ascii="Arial" w:hAnsi="Arial" w:cs="Arial"/>
          <w:sz w:val="20"/>
          <w:szCs w:val="20"/>
        </w:rPr>
        <w:t>Tantiemeanspruch</w:t>
      </w:r>
      <w:proofErr w:type="spellEnd"/>
      <w:r w:rsidRPr="00A3339C">
        <w:rPr>
          <w:rFonts w:ascii="Arial" w:hAnsi="Arial" w:cs="Arial"/>
          <w:sz w:val="20"/>
          <w:szCs w:val="20"/>
        </w:rPr>
        <w:t xml:space="preserve"> mit der Feststellung des Jahresabschlusses, sofern die Vertragsparteien nicht zivilrechtlich wirksam und fremdüblich eine andere Fälligkeit im Anstellungsvertrag vereinbart haben.</w:t>
      </w:r>
    </w:p>
    <w:p w:rsidR="0051665B" w:rsidRDefault="0051665B" w:rsidP="0051665B">
      <w:pPr>
        <w:jc w:val="both"/>
        <w:rPr>
          <w:rFonts w:ascii="Arial" w:hAnsi="Arial" w:cs="Arial"/>
          <w:sz w:val="20"/>
          <w:szCs w:val="20"/>
        </w:rPr>
      </w:pPr>
    </w:p>
    <w:p w:rsidR="00082A90" w:rsidRPr="00A3339C" w:rsidRDefault="00082A90" w:rsidP="0051665B">
      <w:pPr>
        <w:jc w:val="both"/>
        <w:rPr>
          <w:rFonts w:ascii="Arial" w:hAnsi="Arial" w:cs="Arial"/>
          <w:sz w:val="20"/>
          <w:szCs w:val="20"/>
        </w:rPr>
      </w:pPr>
      <w:r w:rsidRPr="00A3339C">
        <w:rPr>
          <w:rFonts w:ascii="Arial" w:hAnsi="Arial" w:cs="Arial"/>
          <w:sz w:val="20"/>
          <w:szCs w:val="20"/>
        </w:rPr>
        <w:t xml:space="preserve">3. </w:t>
      </w:r>
      <w:proofErr w:type="spellStart"/>
      <w:r w:rsidRPr="00A3339C">
        <w:rPr>
          <w:rFonts w:ascii="Arial" w:hAnsi="Arial" w:cs="Arial"/>
          <w:sz w:val="20"/>
          <w:szCs w:val="20"/>
        </w:rPr>
        <w:t>Tantiemeforderungen</w:t>
      </w:r>
      <w:proofErr w:type="spellEnd"/>
      <w:r w:rsidRPr="00A3339C">
        <w:rPr>
          <w:rFonts w:ascii="Arial" w:hAnsi="Arial" w:cs="Arial"/>
          <w:sz w:val="20"/>
          <w:szCs w:val="20"/>
        </w:rPr>
        <w:t>, die in den festgestellten Jahresabschlüssen nicht ausgewiesen sind, fließen dem beherrschenden Gesellschafter-Geschäftsführer nicht zu, auch wenn eine dahingehende Verbindlichkeit nach den Grundsätzen ordnungsgemäßer Buchführung in den (festgestellten) Jahresabschlüssen hätte gebildet werden müssen (</w:t>
      </w:r>
      <w:proofErr w:type="spellStart"/>
      <w:r w:rsidRPr="00A3339C">
        <w:rPr>
          <w:rFonts w:ascii="Arial" w:hAnsi="Arial" w:cs="Arial"/>
          <w:sz w:val="20"/>
          <w:szCs w:val="20"/>
        </w:rPr>
        <w:t>a.A</w:t>
      </w:r>
      <w:proofErr w:type="spellEnd"/>
      <w:r w:rsidRPr="00A3339C">
        <w:rPr>
          <w:rFonts w:ascii="Arial" w:hAnsi="Arial" w:cs="Arial"/>
          <w:sz w:val="20"/>
          <w:szCs w:val="20"/>
        </w:rPr>
        <w:t xml:space="preserve">. Schreiben des Bundesministeriums der Finanzen vom 12.05.2014, </w:t>
      </w:r>
      <w:proofErr w:type="spellStart"/>
      <w:r w:rsidRPr="00A3339C">
        <w:rPr>
          <w:rFonts w:ascii="Arial" w:hAnsi="Arial" w:cs="Arial"/>
          <w:sz w:val="20"/>
          <w:szCs w:val="20"/>
        </w:rPr>
        <w:t>BStBl</w:t>
      </w:r>
      <w:proofErr w:type="spellEnd"/>
      <w:r w:rsidRPr="00A3339C">
        <w:rPr>
          <w:rFonts w:ascii="Arial" w:hAnsi="Arial" w:cs="Arial"/>
          <w:sz w:val="20"/>
          <w:szCs w:val="20"/>
        </w:rPr>
        <w:t xml:space="preserve"> I 2014, 860).</w:t>
      </w:r>
    </w:p>
    <w:p w:rsidR="0051665B" w:rsidRDefault="0051665B" w:rsidP="0051665B">
      <w:pPr>
        <w:jc w:val="both"/>
        <w:rPr>
          <w:rFonts w:ascii="Arial" w:hAnsi="Arial" w:cs="Arial"/>
          <w:b/>
          <w:bCs/>
          <w:sz w:val="20"/>
          <w:szCs w:val="20"/>
          <w:u w:val="single"/>
        </w:rPr>
      </w:pPr>
    </w:p>
    <w:p w:rsidR="00082A90" w:rsidRPr="00A3339C" w:rsidRDefault="00082A90" w:rsidP="0051665B">
      <w:pPr>
        <w:jc w:val="both"/>
        <w:rPr>
          <w:rFonts w:ascii="Arial" w:hAnsi="Arial" w:cs="Arial"/>
          <w:sz w:val="20"/>
          <w:szCs w:val="20"/>
        </w:rPr>
      </w:pPr>
      <w:r w:rsidRPr="00A3339C">
        <w:rPr>
          <w:rFonts w:ascii="Arial" w:hAnsi="Arial" w:cs="Arial"/>
          <w:b/>
          <w:bCs/>
          <w:sz w:val="20"/>
          <w:szCs w:val="20"/>
          <w:u w:val="single"/>
        </w:rPr>
        <w:t>Siehe:</w:t>
      </w:r>
    </w:p>
    <w:p w:rsidR="00082A90" w:rsidRPr="00A3339C" w:rsidRDefault="007802B2" w:rsidP="0051665B">
      <w:pPr>
        <w:rPr>
          <w:rFonts w:ascii="Arial" w:hAnsi="Arial" w:cs="Arial"/>
          <w:sz w:val="20"/>
          <w:szCs w:val="20"/>
        </w:rPr>
      </w:pPr>
      <w:hyperlink r:id="rId25" w:tgtFrame="_blank" w:history="1">
        <w:r w:rsidR="00082A90" w:rsidRPr="00A3339C">
          <w:rPr>
            <w:rStyle w:val="Hyperlink"/>
            <w:rFonts w:ascii="Arial" w:hAnsi="Arial" w:cs="Arial"/>
            <w:color w:val="auto"/>
            <w:sz w:val="20"/>
            <w:szCs w:val="20"/>
          </w:rPr>
          <w:t>https://www.bundesfinanzhof.de/de/entscheidung/entscheidungen-online/detail/STRE202410116/</w:t>
        </w:r>
      </w:hyperlink>
      <w:r w:rsidR="00082A90" w:rsidRPr="00A3339C">
        <w:rPr>
          <w:rFonts w:ascii="Arial" w:hAnsi="Arial" w:cs="Arial"/>
          <w:sz w:val="20"/>
          <w:szCs w:val="20"/>
        </w:rPr>
        <w:t xml:space="preserve"> </w:t>
      </w:r>
    </w:p>
    <w:p w:rsidR="0051665B" w:rsidRDefault="0051665B" w:rsidP="0051665B">
      <w:pPr>
        <w:rPr>
          <w:rFonts w:ascii="Arial" w:hAnsi="Arial" w:cs="Arial"/>
          <w:sz w:val="20"/>
          <w:szCs w:val="20"/>
        </w:rPr>
      </w:pPr>
    </w:p>
    <w:p w:rsidR="00F318DD" w:rsidRDefault="00F318DD" w:rsidP="0051665B">
      <w:pPr>
        <w:rPr>
          <w:rFonts w:ascii="Arial" w:hAnsi="Arial" w:cs="Arial"/>
          <w:sz w:val="20"/>
          <w:szCs w:val="20"/>
        </w:rPr>
      </w:pPr>
    </w:p>
    <w:p w:rsidR="00082A90" w:rsidRPr="00F318DD" w:rsidRDefault="00082A90" w:rsidP="00F318DD">
      <w:pPr>
        <w:jc w:val="both"/>
        <w:rPr>
          <w:rFonts w:ascii="Arial" w:hAnsi="Arial" w:cs="Arial"/>
          <w:sz w:val="20"/>
          <w:szCs w:val="20"/>
        </w:rPr>
      </w:pPr>
      <w:r w:rsidRPr="00F318DD">
        <w:rPr>
          <w:rFonts w:ascii="Arial" w:hAnsi="Arial" w:cs="Arial"/>
          <w:sz w:val="20"/>
          <w:szCs w:val="20"/>
        </w:rPr>
        <w:t>Mit besten kollegialen Grüßen</w:t>
      </w:r>
    </w:p>
    <w:p w:rsidR="00082A90" w:rsidRPr="00F318DD" w:rsidRDefault="00082A90" w:rsidP="00F318DD">
      <w:pPr>
        <w:jc w:val="both"/>
        <w:rPr>
          <w:rFonts w:ascii="Arial" w:hAnsi="Arial" w:cs="Arial"/>
          <w:sz w:val="20"/>
          <w:szCs w:val="20"/>
        </w:rPr>
      </w:pPr>
      <w:r w:rsidRPr="00F318DD">
        <w:rPr>
          <w:rFonts w:ascii="Arial" w:hAnsi="Arial" w:cs="Arial"/>
          <w:sz w:val="20"/>
          <w:szCs w:val="20"/>
        </w:rPr>
        <w:t>Ihr</w:t>
      </w:r>
    </w:p>
    <w:p w:rsidR="00F318DD" w:rsidRPr="00F318DD" w:rsidRDefault="00F318DD" w:rsidP="00F318DD">
      <w:pPr>
        <w:jc w:val="both"/>
        <w:rPr>
          <w:rFonts w:ascii="Arial" w:hAnsi="Arial" w:cs="Arial"/>
          <w:sz w:val="20"/>
          <w:szCs w:val="20"/>
        </w:rPr>
      </w:pPr>
    </w:p>
    <w:p w:rsidR="0051665B" w:rsidRPr="00F318DD" w:rsidRDefault="00082A90" w:rsidP="00F318DD">
      <w:pPr>
        <w:jc w:val="both"/>
        <w:rPr>
          <w:rFonts w:ascii="Arial" w:hAnsi="Arial" w:cs="Arial"/>
          <w:sz w:val="20"/>
          <w:szCs w:val="20"/>
        </w:rPr>
      </w:pPr>
      <w:r w:rsidRPr="00F318DD">
        <w:rPr>
          <w:rFonts w:ascii="Arial" w:hAnsi="Arial" w:cs="Arial"/>
          <w:sz w:val="20"/>
          <w:szCs w:val="20"/>
        </w:rPr>
        <w:t>Michael Henn</w:t>
      </w:r>
    </w:p>
    <w:p w:rsidR="0051665B" w:rsidRPr="00F318DD" w:rsidRDefault="00082A90" w:rsidP="00F318DD">
      <w:pPr>
        <w:jc w:val="both"/>
        <w:rPr>
          <w:rFonts w:ascii="Arial" w:hAnsi="Arial" w:cs="Arial"/>
          <w:sz w:val="20"/>
          <w:szCs w:val="20"/>
        </w:rPr>
      </w:pPr>
      <w:r w:rsidRPr="00F318DD">
        <w:rPr>
          <w:rFonts w:ascii="Arial" w:hAnsi="Arial" w:cs="Arial"/>
          <w:sz w:val="20"/>
          <w:szCs w:val="20"/>
        </w:rPr>
        <w:t>Rechtsanwalt</w:t>
      </w:r>
    </w:p>
    <w:p w:rsidR="0051665B" w:rsidRPr="00F318DD" w:rsidRDefault="00082A90" w:rsidP="00F318DD">
      <w:pPr>
        <w:jc w:val="both"/>
        <w:rPr>
          <w:rFonts w:ascii="Arial" w:hAnsi="Arial" w:cs="Arial"/>
          <w:sz w:val="20"/>
          <w:szCs w:val="20"/>
        </w:rPr>
      </w:pPr>
      <w:r w:rsidRPr="00F318DD">
        <w:rPr>
          <w:rFonts w:ascii="Arial" w:hAnsi="Arial" w:cs="Arial"/>
          <w:sz w:val="20"/>
          <w:szCs w:val="20"/>
        </w:rPr>
        <w:t>Fachanwalt für Erbrecht</w:t>
      </w:r>
    </w:p>
    <w:p w:rsidR="00F318DD" w:rsidRPr="00F318DD" w:rsidRDefault="00082A90" w:rsidP="00F318DD">
      <w:pPr>
        <w:jc w:val="both"/>
        <w:rPr>
          <w:rFonts w:ascii="Arial" w:hAnsi="Arial" w:cs="Arial"/>
          <w:sz w:val="20"/>
          <w:szCs w:val="20"/>
        </w:rPr>
      </w:pPr>
      <w:r w:rsidRPr="00F318DD">
        <w:rPr>
          <w:rFonts w:ascii="Arial" w:hAnsi="Arial" w:cs="Arial"/>
          <w:sz w:val="20"/>
          <w:szCs w:val="20"/>
        </w:rPr>
        <w:t>Fachanwalt für Arbeitsrecht</w:t>
      </w:r>
    </w:p>
    <w:p w:rsidR="00082A90" w:rsidRPr="00F318DD" w:rsidRDefault="00082A90" w:rsidP="00F318DD">
      <w:pPr>
        <w:jc w:val="both"/>
        <w:rPr>
          <w:rFonts w:ascii="Arial" w:hAnsi="Arial" w:cs="Arial"/>
          <w:sz w:val="20"/>
          <w:szCs w:val="20"/>
        </w:rPr>
      </w:pPr>
      <w:r w:rsidRPr="00F318DD">
        <w:rPr>
          <w:rFonts w:ascii="Arial" w:hAnsi="Arial" w:cs="Arial"/>
          <w:sz w:val="20"/>
          <w:szCs w:val="20"/>
        </w:rPr>
        <w:t>VDAA – Präsident</w:t>
      </w:r>
    </w:p>
    <w:p w:rsidR="00F318DD" w:rsidRPr="00BB503A" w:rsidRDefault="00F318DD" w:rsidP="00F318DD">
      <w:pPr>
        <w:rPr>
          <w:rFonts w:ascii="Arial" w:eastAsia="Times New Roman" w:hAnsi="Arial" w:cs="Arial"/>
          <w:b/>
          <w:bCs/>
          <w:color w:val="000000" w:themeColor="text1"/>
          <w:sz w:val="20"/>
          <w:szCs w:val="20"/>
          <w:lang w:eastAsia="de-DE"/>
        </w:rPr>
      </w:pPr>
      <w:r w:rsidRPr="00BB503A">
        <w:rPr>
          <w:rFonts w:ascii="Arial" w:eastAsia="Times New Roman" w:hAnsi="Arial" w:cs="Arial"/>
          <w:b/>
          <w:bCs/>
          <w:color w:val="000000" w:themeColor="text1"/>
          <w:sz w:val="20"/>
          <w:szCs w:val="20"/>
          <w:lang w:eastAsia="de-DE"/>
        </w:rPr>
        <w:t xml:space="preserve">VDAA - Verband deutscher </w:t>
      </w:r>
      <w:proofErr w:type="spellStart"/>
      <w:r w:rsidRPr="00BB503A">
        <w:rPr>
          <w:rFonts w:ascii="Arial" w:eastAsia="Times New Roman" w:hAnsi="Arial" w:cs="Arial"/>
          <w:b/>
          <w:bCs/>
          <w:color w:val="000000" w:themeColor="text1"/>
          <w:sz w:val="20"/>
          <w:szCs w:val="20"/>
          <w:lang w:eastAsia="de-DE"/>
        </w:rPr>
        <w:t>ArbeitsrechtsAnwälte</w:t>
      </w:r>
      <w:proofErr w:type="spellEnd"/>
      <w:r w:rsidRPr="00BB503A">
        <w:rPr>
          <w:rFonts w:ascii="Arial" w:eastAsia="Times New Roman" w:hAnsi="Arial" w:cs="Arial"/>
          <w:b/>
          <w:bCs/>
          <w:color w:val="000000" w:themeColor="text1"/>
          <w:sz w:val="20"/>
          <w:szCs w:val="20"/>
          <w:lang w:eastAsia="de-DE"/>
        </w:rPr>
        <w:t xml:space="preserve"> e.V.</w:t>
      </w:r>
    </w:p>
    <w:p w:rsidR="00F318DD" w:rsidRPr="00BB503A" w:rsidRDefault="00F318DD" w:rsidP="00F318DD">
      <w:pPr>
        <w:rPr>
          <w:rFonts w:ascii="Arial" w:eastAsia="Times New Roman" w:hAnsi="Arial" w:cs="Arial"/>
          <w:b/>
          <w:bCs/>
          <w:color w:val="000000" w:themeColor="text1"/>
          <w:sz w:val="20"/>
          <w:szCs w:val="20"/>
          <w:lang w:eastAsia="de-DE"/>
        </w:rPr>
      </w:pPr>
      <w:proofErr w:type="spellStart"/>
      <w:r w:rsidRPr="00BB503A">
        <w:rPr>
          <w:rFonts w:ascii="Arial" w:eastAsia="Times New Roman" w:hAnsi="Arial" w:cs="Arial"/>
          <w:b/>
          <w:bCs/>
          <w:color w:val="000000" w:themeColor="text1"/>
          <w:sz w:val="20"/>
          <w:szCs w:val="20"/>
          <w:lang w:eastAsia="de-DE"/>
        </w:rPr>
        <w:t>Gerokstr</w:t>
      </w:r>
      <w:proofErr w:type="spellEnd"/>
      <w:r w:rsidRPr="00BB503A">
        <w:rPr>
          <w:rFonts w:ascii="Arial" w:eastAsia="Times New Roman" w:hAnsi="Arial" w:cs="Arial"/>
          <w:b/>
          <w:bCs/>
          <w:color w:val="000000" w:themeColor="text1"/>
          <w:sz w:val="20"/>
          <w:szCs w:val="20"/>
          <w:lang w:eastAsia="de-DE"/>
        </w:rPr>
        <w:t>. 8</w:t>
      </w:r>
      <w:r w:rsidRPr="00BB503A">
        <w:rPr>
          <w:rFonts w:ascii="Arial" w:eastAsia="Times New Roman" w:hAnsi="Arial" w:cs="Arial"/>
          <w:b/>
          <w:bCs/>
          <w:color w:val="000000" w:themeColor="text1"/>
          <w:sz w:val="20"/>
          <w:szCs w:val="20"/>
          <w:lang w:eastAsia="de-DE"/>
        </w:rPr>
        <w:tab/>
      </w:r>
      <w:r w:rsidRPr="00BB503A">
        <w:rPr>
          <w:rFonts w:ascii="Arial" w:eastAsia="Times New Roman" w:hAnsi="Arial" w:cs="Arial"/>
          <w:b/>
          <w:bCs/>
          <w:color w:val="000000" w:themeColor="text1"/>
          <w:sz w:val="20"/>
          <w:szCs w:val="20"/>
          <w:lang w:eastAsia="de-DE"/>
        </w:rPr>
        <w:tab/>
      </w:r>
      <w:r w:rsidRPr="00BB503A">
        <w:rPr>
          <w:rFonts w:ascii="Arial" w:eastAsia="Times New Roman" w:hAnsi="Arial" w:cs="Arial"/>
          <w:b/>
          <w:bCs/>
          <w:color w:val="000000" w:themeColor="text1"/>
          <w:sz w:val="20"/>
          <w:szCs w:val="20"/>
          <w:lang w:eastAsia="de-DE"/>
        </w:rPr>
        <w:tab/>
        <w:t>70188 Stuttgart</w:t>
      </w:r>
    </w:p>
    <w:p w:rsidR="00F318DD" w:rsidRPr="00BB503A" w:rsidRDefault="00F318DD" w:rsidP="00F318DD">
      <w:pPr>
        <w:rPr>
          <w:rFonts w:ascii="Arial" w:eastAsia="Times New Roman" w:hAnsi="Arial" w:cs="Arial"/>
          <w:color w:val="000000" w:themeColor="text1"/>
          <w:sz w:val="20"/>
          <w:szCs w:val="20"/>
        </w:rPr>
      </w:pPr>
      <w:r w:rsidRPr="00BB503A">
        <w:rPr>
          <w:rFonts w:ascii="Arial" w:eastAsia="Times New Roman" w:hAnsi="Arial" w:cs="Arial"/>
          <w:b/>
          <w:bCs/>
          <w:color w:val="000000" w:themeColor="text1"/>
          <w:sz w:val="20"/>
          <w:szCs w:val="20"/>
          <w:lang w:eastAsia="de-DE"/>
        </w:rPr>
        <w:t>Telefon: (0711) 3058 9320</w:t>
      </w:r>
      <w:r w:rsidRPr="00BB503A">
        <w:rPr>
          <w:rFonts w:ascii="Arial" w:eastAsia="Times New Roman" w:hAnsi="Arial" w:cs="Arial"/>
          <w:b/>
          <w:bCs/>
          <w:color w:val="000000" w:themeColor="text1"/>
          <w:sz w:val="20"/>
          <w:szCs w:val="20"/>
          <w:lang w:eastAsia="de-DE"/>
        </w:rPr>
        <w:tab/>
        <w:t>Telefax: (0711) 3058 9311</w:t>
      </w:r>
    </w:p>
    <w:p w:rsidR="00F318DD" w:rsidRDefault="00F318DD" w:rsidP="00F318DD">
      <w:pPr>
        <w:jc w:val="both"/>
        <w:rPr>
          <w:rFonts w:ascii="Arial" w:hAnsi="Arial" w:cs="Arial"/>
          <w:b/>
          <w:bCs/>
          <w:sz w:val="20"/>
          <w:szCs w:val="20"/>
        </w:rPr>
      </w:pPr>
      <w:r w:rsidRPr="00BB503A">
        <w:rPr>
          <w:rFonts w:ascii="Arial" w:eastAsia="Times New Roman" w:hAnsi="Arial" w:cs="Arial"/>
          <w:b/>
          <w:bCs/>
          <w:color w:val="000000" w:themeColor="text1"/>
          <w:sz w:val="20"/>
          <w:szCs w:val="20"/>
          <w:lang w:eastAsia="de-DE"/>
        </w:rPr>
        <w:t xml:space="preserve">Email: </w:t>
      </w:r>
      <w:hyperlink r:id="rId26" w:history="1">
        <w:r w:rsidRPr="00BB503A">
          <w:rPr>
            <w:rFonts w:ascii="Arial" w:eastAsia="Times New Roman" w:hAnsi="Arial" w:cs="Arial"/>
            <w:b/>
            <w:bCs/>
            <w:color w:val="000000" w:themeColor="text1"/>
            <w:sz w:val="20"/>
            <w:szCs w:val="20"/>
            <w:u w:val="single"/>
            <w:lang w:eastAsia="de-DE"/>
          </w:rPr>
          <w:t>info@vdaa.de</w:t>
        </w:r>
      </w:hyperlink>
      <w:r w:rsidRPr="00BB503A">
        <w:rPr>
          <w:rFonts w:ascii="Arial" w:eastAsia="Times New Roman" w:hAnsi="Arial" w:cs="Arial"/>
          <w:b/>
          <w:bCs/>
          <w:color w:val="000000" w:themeColor="text1"/>
          <w:sz w:val="20"/>
          <w:szCs w:val="20"/>
          <w:u w:val="single"/>
          <w:lang w:eastAsia="de-DE"/>
        </w:rPr>
        <w:tab/>
      </w:r>
      <w:r w:rsidRPr="00BB503A">
        <w:rPr>
          <w:rFonts w:ascii="Arial" w:eastAsia="Times New Roman" w:hAnsi="Arial" w:cs="Arial"/>
          <w:b/>
          <w:bCs/>
          <w:color w:val="000000" w:themeColor="text1"/>
          <w:sz w:val="20"/>
          <w:szCs w:val="20"/>
          <w:u w:val="single"/>
          <w:lang w:eastAsia="de-DE"/>
        </w:rPr>
        <w:tab/>
      </w:r>
      <w:hyperlink r:id="rId27" w:history="1">
        <w:r w:rsidRPr="00BB503A">
          <w:rPr>
            <w:rFonts w:ascii="Arial" w:eastAsia="Times New Roman" w:hAnsi="Arial" w:cs="Arial"/>
            <w:b/>
            <w:bCs/>
            <w:color w:val="000000" w:themeColor="text1"/>
            <w:sz w:val="20"/>
            <w:szCs w:val="20"/>
            <w:u w:val="single"/>
            <w:lang w:eastAsia="de-DE"/>
          </w:rPr>
          <w:t>www.vdaa.de</w:t>
        </w:r>
      </w:hyperlink>
    </w:p>
    <w:p w:rsidR="00082A90" w:rsidRDefault="00082A90" w:rsidP="00A3339C">
      <w:pPr>
        <w:rPr>
          <w:rFonts w:ascii="Arial" w:eastAsia="Calibri" w:hAnsi="Arial" w:cs="Arial"/>
          <w:b/>
          <w:bCs/>
          <w:sz w:val="20"/>
          <w:szCs w:val="20"/>
          <w:lang w:eastAsia="de-DE"/>
        </w:rPr>
      </w:pPr>
    </w:p>
    <w:p w:rsidR="00F318DD" w:rsidRPr="00A3339C" w:rsidRDefault="00F318DD" w:rsidP="00A3339C">
      <w:pPr>
        <w:rPr>
          <w:rFonts w:ascii="Arial" w:eastAsia="Calibri" w:hAnsi="Arial" w:cs="Arial"/>
          <w:b/>
          <w:bCs/>
          <w:sz w:val="20"/>
          <w:szCs w:val="20"/>
          <w:lang w:eastAsia="de-DE"/>
        </w:rPr>
      </w:pPr>
    </w:p>
    <w:sectPr w:rsidR="00F318DD" w:rsidRPr="00A3339C">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2B2" w:rsidRDefault="007802B2" w:rsidP="009A56DF">
      <w:r>
        <w:separator/>
      </w:r>
    </w:p>
  </w:endnote>
  <w:endnote w:type="continuationSeparator" w:id="0">
    <w:p w:rsidR="007802B2" w:rsidRDefault="007802B2" w:rsidP="009A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731566"/>
      <w:docPartObj>
        <w:docPartGallery w:val="Page Numbers (Bottom of Page)"/>
        <w:docPartUnique/>
      </w:docPartObj>
    </w:sdtPr>
    <w:sdtEndPr/>
    <w:sdtContent>
      <w:p w:rsidR="00A3339C" w:rsidRDefault="00A3339C">
        <w:pPr>
          <w:pStyle w:val="Fuzeile"/>
          <w:jc w:val="center"/>
        </w:pPr>
        <w:r>
          <w:rPr>
            <w:noProof/>
            <w:lang w:eastAsia="de-DE"/>
          </w:rPr>
          <mc:AlternateContent>
            <mc:Choice Requires="wps">
              <w:drawing>
                <wp:inline distT="0" distB="0" distL="0" distR="0">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8FEE6AE"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o&#10;tgQ9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A3339C" w:rsidRDefault="00A3339C">
        <w:pPr>
          <w:pStyle w:val="Fuzeile"/>
          <w:jc w:val="center"/>
        </w:pPr>
        <w:r>
          <w:fldChar w:fldCharType="begin"/>
        </w:r>
        <w:r>
          <w:instrText>PAGE    \* MERGEFORMAT</w:instrText>
        </w:r>
        <w:r>
          <w:fldChar w:fldCharType="separate"/>
        </w:r>
        <w:r>
          <w:rPr>
            <w:noProof/>
          </w:rPr>
          <w:t>1</w:t>
        </w:r>
        <w:r>
          <w:fldChar w:fldCharType="end"/>
        </w:r>
      </w:p>
    </w:sdtContent>
  </w:sdt>
  <w:p w:rsidR="00A3339C" w:rsidRDefault="00A333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2B2" w:rsidRDefault="007802B2" w:rsidP="009A56DF">
      <w:r>
        <w:separator/>
      </w:r>
    </w:p>
  </w:footnote>
  <w:footnote w:type="continuationSeparator" w:id="0">
    <w:p w:rsidR="007802B2" w:rsidRDefault="007802B2" w:rsidP="009A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39C" w:rsidRPr="009A56DF" w:rsidRDefault="00A3339C" w:rsidP="009A56DF">
    <w:pPr>
      <w:tabs>
        <w:tab w:val="center" w:pos="4536"/>
        <w:tab w:val="left" w:pos="7764"/>
        <w:tab w:val="right" w:pos="9071"/>
      </w:tabs>
      <w:spacing w:line="360" w:lineRule="auto"/>
      <w:jc w:val="center"/>
      <w:rPr>
        <w:rFonts w:ascii="Arial" w:hAnsi="Arial" w:cs="Arial"/>
        <w:b/>
        <w:bCs/>
        <w:sz w:val="28"/>
        <w:szCs w:val="28"/>
        <w:lang w:eastAsia="de-DE"/>
      </w:rPr>
    </w:pPr>
    <w:r w:rsidRPr="009A56DF">
      <w:rPr>
        <w:rFonts w:ascii="Arial" w:hAnsi="Arial" w:cs="Arial"/>
        <w:b/>
        <w:bCs/>
        <w:sz w:val="28"/>
        <w:szCs w:val="28"/>
        <w:lang w:eastAsia="de-DE"/>
      </w:rPr>
      <w:t xml:space="preserve">VDAA- </w:t>
    </w:r>
    <w:r w:rsidR="0042384D">
      <w:rPr>
        <w:rFonts w:ascii="Arial" w:hAnsi="Arial" w:cs="Arial"/>
        <w:b/>
        <w:bCs/>
        <w:sz w:val="28"/>
        <w:szCs w:val="28"/>
        <w:lang w:eastAsia="de-DE"/>
      </w:rPr>
      <w:t>Arbeitsrecht</w:t>
    </w:r>
    <w:r w:rsidRPr="009A56DF">
      <w:rPr>
        <w:rFonts w:ascii="Arial" w:hAnsi="Arial" w:cs="Arial"/>
        <w:b/>
        <w:bCs/>
        <w:sz w:val="28"/>
        <w:szCs w:val="28"/>
        <w:lang w:eastAsia="de-DE"/>
      </w:rPr>
      <w:t xml:space="preserve">sdepesche </w:t>
    </w:r>
    <w:r>
      <w:rPr>
        <w:rFonts w:ascii="Arial" w:hAnsi="Arial" w:cs="Arial"/>
        <w:b/>
        <w:bCs/>
        <w:sz w:val="28"/>
        <w:szCs w:val="28"/>
        <w:lang w:eastAsia="de-DE"/>
      </w:rPr>
      <w:t>07-</w:t>
    </w:r>
    <w:r w:rsidRPr="009A56DF">
      <w:rPr>
        <w:rFonts w:ascii="Arial" w:hAnsi="Arial" w:cs="Arial"/>
        <w:b/>
        <w:bCs/>
        <w:sz w:val="28"/>
        <w:szCs w:val="28"/>
        <w:lang w:eastAsia="de-DE"/>
      </w:rPr>
      <w:t>202</w:t>
    </w:r>
    <w:r>
      <w:rPr>
        <w:rFonts w:ascii="Arial" w:hAnsi="Arial" w:cs="Arial"/>
        <w:b/>
        <w:bCs/>
        <w:sz w:val="28"/>
        <w:szCs w:val="28"/>
        <w:lang w:eastAsia="de-D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526C4"/>
    <w:multiLevelType w:val="hybridMultilevel"/>
    <w:tmpl w:val="BB2291D4"/>
    <w:lvl w:ilvl="0" w:tplc="BFA0FC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A342BA"/>
    <w:multiLevelType w:val="multilevel"/>
    <w:tmpl w:val="147C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16BFD"/>
    <w:multiLevelType w:val="multilevel"/>
    <w:tmpl w:val="1D06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6F204C"/>
    <w:multiLevelType w:val="hybridMultilevel"/>
    <w:tmpl w:val="4DF05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4F58A9"/>
    <w:multiLevelType w:val="hybridMultilevel"/>
    <w:tmpl w:val="193084BE"/>
    <w:lvl w:ilvl="0" w:tplc="05D8B0D4">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1C1374"/>
    <w:multiLevelType w:val="hybridMultilevel"/>
    <w:tmpl w:val="998C0094"/>
    <w:lvl w:ilvl="0" w:tplc="BFA0FC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C5467F"/>
    <w:multiLevelType w:val="hybridMultilevel"/>
    <w:tmpl w:val="86BA0134"/>
    <w:lvl w:ilvl="0" w:tplc="BFA0FC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454F74"/>
    <w:multiLevelType w:val="hybridMultilevel"/>
    <w:tmpl w:val="9E300982"/>
    <w:lvl w:ilvl="0" w:tplc="BFA0FC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851673"/>
    <w:multiLevelType w:val="hybridMultilevel"/>
    <w:tmpl w:val="CAA6EA94"/>
    <w:lvl w:ilvl="0" w:tplc="BFA0FC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84566B"/>
    <w:multiLevelType w:val="hybridMultilevel"/>
    <w:tmpl w:val="F0B4AF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7A20F9"/>
    <w:multiLevelType w:val="multilevel"/>
    <w:tmpl w:val="6E24C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71C33E6"/>
    <w:multiLevelType w:val="hybridMultilevel"/>
    <w:tmpl w:val="74AECD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BD5BE1"/>
    <w:multiLevelType w:val="hybridMultilevel"/>
    <w:tmpl w:val="6944BB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15056C"/>
    <w:multiLevelType w:val="hybridMultilevel"/>
    <w:tmpl w:val="F1A29D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B7027E"/>
    <w:multiLevelType w:val="hybridMultilevel"/>
    <w:tmpl w:val="30E428B0"/>
    <w:lvl w:ilvl="0" w:tplc="6DDABB1A">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57996003"/>
    <w:multiLevelType w:val="hybridMultilevel"/>
    <w:tmpl w:val="CA78FE02"/>
    <w:lvl w:ilvl="0" w:tplc="83329490">
      <w:start w:val="4"/>
      <w:numFmt w:val="bullet"/>
      <w:lvlText w:val="-"/>
      <w:lvlJc w:val="left"/>
      <w:pPr>
        <w:ind w:left="720" w:hanging="360"/>
      </w:pPr>
      <w:rPr>
        <w:rFonts w:ascii="Arial" w:eastAsia="Calibri" w:hAnsi="Arial" w:cs="Arial" w:hint="default"/>
      </w:rPr>
    </w:lvl>
    <w:lvl w:ilvl="1" w:tplc="53F2E536">
      <w:start w:val="1"/>
      <w:numFmt w:val="decimal"/>
      <w:lvlText w:val="%2."/>
      <w:lvlJc w:val="left"/>
      <w:pPr>
        <w:tabs>
          <w:tab w:val="num" w:pos="1440"/>
        </w:tabs>
        <w:ind w:left="1440" w:hanging="360"/>
      </w:pPr>
      <w:rPr>
        <w:rFonts w:ascii="Arial" w:eastAsia="Calibri" w:hAnsi="Arial" w:cs="Arial"/>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59073558"/>
    <w:multiLevelType w:val="multilevel"/>
    <w:tmpl w:val="5F70E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DD1291F"/>
    <w:multiLevelType w:val="multilevel"/>
    <w:tmpl w:val="9962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1B34D8"/>
    <w:multiLevelType w:val="hybridMultilevel"/>
    <w:tmpl w:val="A78C5006"/>
    <w:lvl w:ilvl="0" w:tplc="BFA0FC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054891"/>
    <w:multiLevelType w:val="hybridMultilevel"/>
    <w:tmpl w:val="F7AC3EB4"/>
    <w:lvl w:ilvl="0" w:tplc="BFA0FC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15"/>
  </w:num>
  <w:num w:numId="10">
    <w:abstractNumId w:val="4"/>
  </w:num>
  <w:num w:numId="11">
    <w:abstractNumId w:val="8"/>
  </w:num>
  <w:num w:numId="12">
    <w:abstractNumId w:val="18"/>
  </w:num>
  <w:num w:numId="13">
    <w:abstractNumId w:val="19"/>
  </w:num>
  <w:num w:numId="14">
    <w:abstractNumId w:val="7"/>
  </w:num>
  <w:num w:numId="15">
    <w:abstractNumId w:val="5"/>
  </w:num>
  <w:num w:numId="16">
    <w:abstractNumId w:val="6"/>
  </w:num>
  <w:num w:numId="17">
    <w:abstractNumId w:val="0"/>
  </w:num>
  <w:num w:numId="18">
    <w:abstractNumId w:val="1"/>
  </w:num>
  <w:num w:numId="19">
    <w:abstractNumId w:val="2"/>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F"/>
    <w:rsid w:val="000377B7"/>
    <w:rsid w:val="00082A90"/>
    <w:rsid w:val="000A5F31"/>
    <w:rsid w:val="00186D3F"/>
    <w:rsid w:val="0022484A"/>
    <w:rsid w:val="002A4EBA"/>
    <w:rsid w:val="00314ACB"/>
    <w:rsid w:val="00387D57"/>
    <w:rsid w:val="00401E47"/>
    <w:rsid w:val="0042384D"/>
    <w:rsid w:val="004469F3"/>
    <w:rsid w:val="00462790"/>
    <w:rsid w:val="0051665B"/>
    <w:rsid w:val="006E52CE"/>
    <w:rsid w:val="007151A1"/>
    <w:rsid w:val="00765DBE"/>
    <w:rsid w:val="007802B2"/>
    <w:rsid w:val="008B4AE1"/>
    <w:rsid w:val="008D41DE"/>
    <w:rsid w:val="008F7B68"/>
    <w:rsid w:val="00927C51"/>
    <w:rsid w:val="009A56DF"/>
    <w:rsid w:val="00A3339C"/>
    <w:rsid w:val="00A8643C"/>
    <w:rsid w:val="00AE51FA"/>
    <w:rsid w:val="00B24EA8"/>
    <w:rsid w:val="00C24F1C"/>
    <w:rsid w:val="00CC485E"/>
    <w:rsid w:val="00CE35D7"/>
    <w:rsid w:val="00E309E6"/>
    <w:rsid w:val="00E513FE"/>
    <w:rsid w:val="00ED7F24"/>
    <w:rsid w:val="00EE633C"/>
    <w:rsid w:val="00F318DD"/>
    <w:rsid w:val="00F40A47"/>
    <w:rsid w:val="00F60654"/>
    <w:rsid w:val="00FF3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46A25"/>
  <w15:chartTrackingRefBased/>
  <w15:docId w15:val="{FF726963-821F-4B86-BB5C-E32DE3E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A56D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56DF"/>
    <w:pPr>
      <w:tabs>
        <w:tab w:val="center" w:pos="4536"/>
        <w:tab w:val="right" w:pos="9072"/>
      </w:tabs>
    </w:pPr>
  </w:style>
  <w:style w:type="character" w:customStyle="1" w:styleId="KopfzeileZchn">
    <w:name w:val="Kopfzeile Zchn"/>
    <w:basedOn w:val="Absatz-Standardschriftart"/>
    <w:link w:val="Kopfzeile"/>
    <w:uiPriority w:val="99"/>
    <w:rsid w:val="009A56DF"/>
  </w:style>
  <w:style w:type="paragraph" w:styleId="Fuzeile">
    <w:name w:val="footer"/>
    <w:basedOn w:val="Standard"/>
    <w:link w:val="FuzeileZchn"/>
    <w:uiPriority w:val="99"/>
    <w:unhideWhenUsed/>
    <w:rsid w:val="009A56DF"/>
    <w:pPr>
      <w:tabs>
        <w:tab w:val="center" w:pos="4536"/>
        <w:tab w:val="right" w:pos="9072"/>
      </w:tabs>
    </w:pPr>
  </w:style>
  <w:style w:type="character" w:customStyle="1" w:styleId="FuzeileZchn">
    <w:name w:val="Fußzeile Zchn"/>
    <w:basedOn w:val="Absatz-Standardschriftart"/>
    <w:link w:val="Fuzeile"/>
    <w:uiPriority w:val="99"/>
    <w:rsid w:val="009A56DF"/>
  </w:style>
  <w:style w:type="character" w:styleId="Hyperlink">
    <w:name w:val="Hyperlink"/>
    <w:basedOn w:val="Absatz-Standardschriftart"/>
    <w:uiPriority w:val="99"/>
    <w:unhideWhenUsed/>
    <w:rsid w:val="009A56DF"/>
    <w:rPr>
      <w:color w:val="0563C1"/>
      <w:u w:val="single"/>
    </w:rPr>
  </w:style>
  <w:style w:type="paragraph" w:styleId="Listenabsatz">
    <w:name w:val="List Paragraph"/>
    <w:basedOn w:val="Standard"/>
    <w:uiPriority w:val="34"/>
    <w:qFormat/>
    <w:rsid w:val="00EE633C"/>
    <w:pPr>
      <w:ind w:left="720"/>
      <w:contextualSpacing/>
    </w:pPr>
  </w:style>
  <w:style w:type="character" w:styleId="BesuchterLink">
    <w:name w:val="FollowedHyperlink"/>
    <w:basedOn w:val="Absatz-Standardschriftart"/>
    <w:uiPriority w:val="99"/>
    <w:semiHidden/>
    <w:unhideWhenUsed/>
    <w:rsid w:val="00CE35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534">
      <w:bodyDiv w:val="1"/>
      <w:marLeft w:val="0"/>
      <w:marRight w:val="0"/>
      <w:marTop w:val="0"/>
      <w:marBottom w:val="0"/>
      <w:divBdr>
        <w:top w:val="none" w:sz="0" w:space="0" w:color="auto"/>
        <w:left w:val="none" w:sz="0" w:space="0" w:color="auto"/>
        <w:bottom w:val="none" w:sz="0" w:space="0" w:color="auto"/>
        <w:right w:val="none" w:sz="0" w:space="0" w:color="auto"/>
      </w:divBdr>
    </w:div>
    <w:div w:id="280501565">
      <w:bodyDiv w:val="1"/>
      <w:marLeft w:val="0"/>
      <w:marRight w:val="0"/>
      <w:marTop w:val="0"/>
      <w:marBottom w:val="0"/>
      <w:divBdr>
        <w:top w:val="none" w:sz="0" w:space="0" w:color="auto"/>
        <w:left w:val="none" w:sz="0" w:space="0" w:color="auto"/>
        <w:bottom w:val="none" w:sz="0" w:space="0" w:color="auto"/>
        <w:right w:val="none" w:sz="0" w:space="0" w:color="auto"/>
      </w:divBdr>
    </w:div>
    <w:div w:id="298535447">
      <w:bodyDiv w:val="1"/>
      <w:marLeft w:val="0"/>
      <w:marRight w:val="0"/>
      <w:marTop w:val="0"/>
      <w:marBottom w:val="0"/>
      <w:divBdr>
        <w:top w:val="none" w:sz="0" w:space="0" w:color="auto"/>
        <w:left w:val="none" w:sz="0" w:space="0" w:color="auto"/>
        <w:bottom w:val="none" w:sz="0" w:space="0" w:color="auto"/>
        <w:right w:val="none" w:sz="0" w:space="0" w:color="auto"/>
      </w:divBdr>
    </w:div>
    <w:div w:id="384374318">
      <w:bodyDiv w:val="1"/>
      <w:marLeft w:val="0"/>
      <w:marRight w:val="0"/>
      <w:marTop w:val="0"/>
      <w:marBottom w:val="0"/>
      <w:divBdr>
        <w:top w:val="none" w:sz="0" w:space="0" w:color="auto"/>
        <w:left w:val="none" w:sz="0" w:space="0" w:color="auto"/>
        <w:bottom w:val="none" w:sz="0" w:space="0" w:color="auto"/>
        <w:right w:val="none" w:sz="0" w:space="0" w:color="auto"/>
      </w:divBdr>
    </w:div>
    <w:div w:id="457653121">
      <w:bodyDiv w:val="1"/>
      <w:marLeft w:val="0"/>
      <w:marRight w:val="0"/>
      <w:marTop w:val="0"/>
      <w:marBottom w:val="0"/>
      <w:divBdr>
        <w:top w:val="none" w:sz="0" w:space="0" w:color="auto"/>
        <w:left w:val="none" w:sz="0" w:space="0" w:color="auto"/>
        <w:bottom w:val="none" w:sz="0" w:space="0" w:color="auto"/>
        <w:right w:val="none" w:sz="0" w:space="0" w:color="auto"/>
      </w:divBdr>
    </w:div>
    <w:div w:id="485558431">
      <w:bodyDiv w:val="1"/>
      <w:marLeft w:val="0"/>
      <w:marRight w:val="0"/>
      <w:marTop w:val="0"/>
      <w:marBottom w:val="0"/>
      <w:divBdr>
        <w:top w:val="none" w:sz="0" w:space="0" w:color="auto"/>
        <w:left w:val="none" w:sz="0" w:space="0" w:color="auto"/>
        <w:bottom w:val="none" w:sz="0" w:space="0" w:color="auto"/>
        <w:right w:val="none" w:sz="0" w:space="0" w:color="auto"/>
      </w:divBdr>
    </w:div>
    <w:div w:id="567115679">
      <w:bodyDiv w:val="1"/>
      <w:marLeft w:val="0"/>
      <w:marRight w:val="0"/>
      <w:marTop w:val="0"/>
      <w:marBottom w:val="0"/>
      <w:divBdr>
        <w:top w:val="none" w:sz="0" w:space="0" w:color="auto"/>
        <w:left w:val="none" w:sz="0" w:space="0" w:color="auto"/>
        <w:bottom w:val="none" w:sz="0" w:space="0" w:color="auto"/>
        <w:right w:val="none" w:sz="0" w:space="0" w:color="auto"/>
      </w:divBdr>
    </w:div>
    <w:div w:id="633411447">
      <w:bodyDiv w:val="1"/>
      <w:marLeft w:val="0"/>
      <w:marRight w:val="0"/>
      <w:marTop w:val="0"/>
      <w:marBottom w:val="0"/>
      <w:divBdr>
        <w:top w:val="none" w:sz="0" w:space="0" w:color="auto"/>
        <w:left w:val="none" w:sz="0" w:space="0" w:color="auto"/>
        <w:bottom w:val="none" w:sz="0" w:space="0" w:color="auto"/>
        <w:right w:val="none" w:sz="0" w:space="0" w:color="auto"/>
      </w:divBdr>
    </w:div>
    <w:div w:id="1028332026">
      <w:bodyDiv w:val="1"/>
      <w:marLeft w:val="0"/>
      <w:marRight w:val="0"/>
      <w:marTop w:val="0"/>
      <w:marBottom w:val="0"/>
      <w:divBdr>
        <w:top w:val="none" w:sz="0" w:space="0" w:color="auto"/>
        <w:left w:val="none" w:sz="0" w:space="0" w:color="auto"/>
        <w:bottom w:val="none" w:sz="0" w:space="0" w:color="auto"/>
        <w:right w:val="none" w:sz="0" w:space="0" w:color="auto"/>
      </w:divBdr>
    </w:div>
    <w:div w:id="1031302722">
      <w:bodyDiv w:val="1"/>
      <w:marLeft w:val="0"/>
      <w:marRight w:val="0"/>
      <w:marTop w:val="0"/>
      <w:marBottom w:val="0"/>
      <w:divBdr>
        <w:top w:val="none" w:sz="0" w:space="0" w:color="auto"/>
        <w:left w:val="none" w:sz="0" w:space="0" w:color="auto"/>
        <w:bottom w:val="none" w:sz="0" w:space="0" w:color="auto"/>
        <w:right w:val="none" w:sz="0" w:space="0" w:color="auto"/>
      </w:divBdr>
    </w:div>
    <w:div w:id="1204637568">
      <w:bodyDiv w:val="1"/>
      <w:marLeft w:val="0"/>
      <w:marRight w:val="0"/>
      <w:marTop w:val="0"/>
      <w:marBottom w:val="0"/>
      <w:divBdr>
        <w:top w:val="none" w:sz="0" w:space="0" w:color="auto"/>
        <w:left w:val="none" w:sz="0" w:space="0" w:color="auto"/>
        <w:bottom w:val="none" w:sz="0" w:space="0" w:color="auto"/>
        <w:right w:val="none" w:sz="0" w:space="0" w:color="auto"/>
      </w:divBdr>
    </w:div>
    <w:div w:id="1231159481">
      <w:bodyDiv w:val="1"/>
      <w:marLeft w:val="0"/>
      <w:marRight w:val="0"/>
      <w:marTop w:val="0"/>
      <w:marBottom w:val="0"/>
      <w:divBdr>
        <w:top w:val="none" w:sz="0" w:space="0" w:color="auto"/>
        <w:left w:val="none" w:sz="0" w:space="0" w:color="auto"/>
        <w:bottom w:val="none" w:sz="0" w:space="0" w:color="auto"/>
        <w:right w:val="none" w:sz="0" w:space="0" w:color="auto"/>
      </w:divBdr>
    </w:div>
    <w:div w:id="1246308366">
      <w:bodyDiv w:val="1"/>
      <w:marLeft w:val="0"/>
      <w:marRight w:val="0"/>
      <w:marTop w:val="0"/>
      <w:marBottom w:val="0"/>
      <w:divBdr>
        <w:top w:val="none" w:sz="0" w:space="0" w:color="auto"/>
        <w:left w:val="none" w:sz="0" w:space="0" w:color="auto"/>
        <w:bottom w:val="none" w:sz="0" w:space="0" w:color="auto"/>
        <w:right w:val="none" w:sz="0" w:space="0" w:color="auto"/>
      </w:divBdr>
    </w:div>
    <w:div w:id="1278682831">
      <w:bodyDiv w:val="1"/>
      <w:marLeft w:val="0"/>
      <w:marRight w:val="0"/>
      <w:marTop w:val="0"/>
      <w:marBottom w:val="0"/>
      <w:divBdr>
        <w:top w:val="none" w:sz="0" w:space="0" w:color="auto"/>
        <w:left w:val="none" w:sz="0" w:space="0" w:color="auto"/>
        <w:bottom w:val="none" w:sz="0" w:space="0" w:color="auto"/>
        <w:right w:val="none" w:sz="0" w:space="0" w:color="auto"/>
      </w:divBdr>
    </w:div>
    <w:div w:id="1458452529">
      <w:bodyDiv w:val="1"/>
      <w:marLeft w:val="0"/>
      <w:marRight w:val="0"/>
      <w:marTop w:val="0"/>
      <w:marBottom w:val="0"/>
      <w:divBdr>
        <w:top w:val="none" w:sz="0" w:space="0" w:color="auto"/>
        <w:left w:val="none" w:sz="0" w:space="0" w:color="auto"/>
        <w:bottom w:val="none" w:sz="0" w:space="0" w:color="auto"/>
        <w:right w:val="none" w:sz="0" w:space="0" w:color="auto"/>
      </w:divBdr>
    </w:div>
    <w:div w:id="1463771996">
      <w:bodyDiv w:val="1"/>
      <w:marLeft w:val="0"/>
      <w:marRight w:val="0"/>
      <w:marTop w:val="0"/>
      <w:marBottom w:val="0"/>
      <w:divBdr>
        <w:top w:val="none" w:sz="0" w:space="0" w:color="auto"/>
        <w:left w:val="none" w:sz="0" w:space="0" w:color="auto"/>
        <w:bottom w:val="none" w:sz="0" w:space="0" w:color="auto"/>
        <w:right w:val="none" w:sz="0" w:space="0" w:color="auto"/>
      </w:divBdr>
    </w:div>
    <w:div w:id="1698308432">
      <w:bodyDiv w:val="1"/>
      <w:marLeft w:val="0"/>
      <w:marRight w:val="0"/>
      <w:marTop w:val="0"/>
      <w:marBottom w:val="0"/>
      <w:divBdr>
        <w:top w:val="none" w:sz="0" w:space="0" w:color="auto"/>
        <w:left w:val="none" w:sz="0" w:space="0" w:color="auto"/>
        <w:bottom w:val="none" w:sz="0" w:space="0" w:color="auto"/>
        <w:right w:val="none" w:sz="0" w:space="0" w:color="auto"/>
      </w:divBdr>
    </w:div>
    <w:div w:id="1723600033">
      <w:bodyDiv w:val="1"/>
      <w:marLeft w:val="0"/>
      <w:marRight w:val="0"/>
      <w:marTop w:val="0"/>
      <w:marBottom w:val="0"/>
      <w:divBdr>
        <w:top w:val="none" w:sz="0" w:space="0" w:color="auto"/>
        <w:left w:val="none" w:sz="0" w:space="0" w:color="auto"/>
        <w:bottom w:val="none" w:sz="0" w:space="0" w:color="auto"/>
        <w:right w:val="none" w:sz="0" w:space="0" w:color="auto"/>
      </w:divBdr>
    </w:div>
    <w:div w:id="1750691561">
      <w:bodyDiv w:val="1"/>
      <w:marLeft w:val="0"/>
      <w:marRight w:val="0"/>
      <w:marTop w:val="0"/>
      <w:marBottom w:val="0"/>
      <w:divBdr>
        <w:top w:val="none" w:sz="0" w:space="0" w:color="auto"/>
        <w:left w:val="none" w:sz="0" w:space="0" w:color="auto"/>
        <w:bottom w:val="none" w:sz="0" w:space="0" w:color="auto"/>
        <w:right w:val="none" w:sz="0" w:space="0" w:color="auto"/>
      </w:divBdr>
    </w:div>
    <w:div w:id="1803844013">
      <w:bodyDiv w:val="1"/>
      <w:marLeft w:val="0"/>
      <w:marRight w:val="0"/>
      <w:marTop w:val="0"/>
      <w:marBottom w:val="0"/>
      <w:divBdr>
        <w:top w:val="none" w:sz="0" w:space="0" w:color="auto"/>
        <w:left w:val="none" w:sz="0" w:space="0" w:color="auto"/>
        <w:bottom w:val="none" w:sz="0" w:space="0" w:color="auto"/>
        <w:right w:val="none" w:sz="0" w:space="0" w:color="auto"/>
      </w:divBdr>
    </w:div>
    <w:div w:id="1831436243">
      <w:bodyDiv w:val="1"/>
      <w:marLeft w:val="0"/>
      <w:marRight w:val="0"/>
      <w:marTop w:val="0"/>
      <w:marBottom w:val="0"/>
      <w:divBdr>
        <w:top w:val="none" w:sz="0" w:space="0" w:color="auto"/>
        <w:left w:val="none" w:sz="0" w:space="0" w:color="auto"/>
        <w:bottom w:val="none" w:sz="0" w:space="0" w:color="auto"/>
        <w:right w:val="none" w:sz="0" w:space="0" w:color="auto"/>
      </w:divBdr>
    </w:div>
    <w:div w:id="1907179043">
      <w:bodyDiv w:val="1"/>
      <w:marLeft w:val="0"/>
      <w:marRight w:val="0"/>
      <w:marTop w:val="0"/>
      <w:marBottom w:val="0"/>
      <w:divBdr>
        <w:top w:val="none" w:sz="0" w:space="0" w:color="auto"/>
        <w:left w:val="none" w:sz="0" w:space="0" w:color="auto"/>
        <w:bottom w:val="none" w:sz="0" w:space="0" w:color="auto"/>
        <w:right w:val="none" w:sz="0" w:space="0" w:color="auto"/>
      </w:divBdr>
    </w:div>
    <w:div w:id="21186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ef-gmx.net/mail/client/785wlgFoRSk/dereferrer/?redirectUrl=https%3A%2F%2Fcuria.europa.eu%2Fjcms%2Fupload%2Fdocs%2Fapplication%2Fpdf%2F2024-06%2Fcp240108de.pdf" TargetMode="External"/><Relationship Id="rId13" Type="http://schemas.openxmlformats.org/officeDocument/2006/relationships/hyperlink" Target="https://deref-gmx.net/mail/client/kLtzESHVweY/dereferrer/?redirectUrl=https%3A%2F%2Fwww.justiz.nrw%2Fnrwe%2Farbgs%2Fduesseldorf%2Flag_duesseldorf%2Fj2024%2FNRWE_LAG_D_sseldorf_1_SHa_21_24_Beschluss_20240620.html" TargetMode="External"/><Relationship Id="rId18" Type="http://schemas.openxmlformats.org/officeDocument/2006/relationships/hyperlink" Target="https://deref-gmx.net/mail/client/MtLJnc3UBv0/dereferrer/?redirectUrl=https%3A%2F%2Fvoris.wolterskluwer-online.de%2Fbrowse%2Fdocument%2F66b8353b-2725-4a01-8cc0-b0387cd2204a" TargetMode="External"/><Relationship Id="rId26" Type="http://schemas.openxmlformats.org/officeDocument/2006/relationships/hyperlink" Target="mailto:info@vdaa.de" TargetMode="External"/><Relationship Id="rId3" Type="http://schemas.openxmlformats.org/officeDocument/2006/relationships/settings" Target="settings.xml"/><Relationship Id="rId21" Type="http://schemas.openxmlformats.org/officeDocument/2006/relationships/hyperlink" Target="https://deref-gmx.net/mail/client/qYbxoG8RR1g/dereferrer/?redirectUrl=https%3A%2F%2Fwww.gesetze-rechtsprechung.sh.juris.de%2Fbssh%2Fdocument%2FNJRE001578493" TargetMode="External"/><Relationship Id="rId7" Type="http://schemas.openxmlformats.org/officeDocument/2006/relationships/image" Target="media/image1.png"/><Relationship Id="rId12" Type="http://schemas.openxmlformats.org/officeDocument/2006/relationships/hyperlink" Target="https://deref-gmx.net/mail/client/aDy7BgKjZa4/dereferrer/?redirectUrl=https%3A%2F%2Fwww.landesrecht-bw.de%2Fbsbw%2Fdocument%2FNJRE001580653" TargetMode="External"/><Relationship Id="rId17" Type="http://schemas.openxmlformats.org/officeDocument/2006/relationships/hyperlink" Target="https://deref-gmx.net/mail/client/w3zoX8BhoVY/dereferrer/?redirectUrl=https%3A%2F%2Fvoris.wolterskluwer-online.de%2Fbrowse%2Fdocument%2F511a1f4c-851c-45ed-b6df-29178a5a39a1" TargetMode="External"/><Relationship Id="rId25" Type="http://schemas.openxmlformats.org/officeDocument/2006/relationships/hyperlink" Target="https://deref-gmx.net/mail/client/j33UT4h_VUA/dereferrer/?redirectUrl=https%3A%2F%2Fwww.bundesfinanzhof.de%2Fde%2Fentscheidung%2Fentscheidungen-online%2Fdetail%2FSTRE202410116%2F" TargetMode="External"/><Relationship Id="rId2" Type="http://schemas.openxmlformats.org/officeDocument/2006/relationships/styles" Target="styles.xml"/><Relationship Id="rId16" Type="http://schemas.openxmlformats.org/officeDocument/2006/relationships/hyperlink" Target="https://deref-gmx.net/mail/client/MK_ZF0cD1V8/dereferrer/?redirectUrl=https%3A%2F%2Fwww.justiz.nrw%2Fnrwe%2Farbgs%2Fduesseldorf%2Flag_duesseldorf%2Fj2024%2FNRWE_LAG_D_sseldorf_3_Ta_85_24_Beschluss_20240701.html" TargetMode="External"/><Relationship Id="rId20" Type="http://schemas.openxmlformats.org/officeDocument/2006/relationships/hyperlink" Target="https://deref-gmx.net/mail/client/rDs7vbDJeHI/dereferrer/?redirectUrl=https%3A%2F%2Fjuris.bundesgerichtshof.de%2Fcgi-bin%2Frechtsprechung%2Fdocument.py%3FGericht%3Dbgh%26Art%3Den%26Datum%3DAktuell%26Sort%3D12288%26Seite%3D2%26nr%3D138046%26anz%3D1336%26pos%3D7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ef-gmx.net/mail/client/cxei7Qo6ggc/dereferrer/?redirectUrl=https%3A%2F%2Fwww.bundesverfassungsgericht.de%2FSharedDocs%2FPressemitteilungen%2FDE%2F2024%2Fbvg24-060.html" TargetMode="External"/><Relationship Id="rId24" Type="http://schemas.openxmlformats.org/officeDocument/2006/relationships/hyperlink" Target="https://deref-gmx.net/mail/client/pZzf9ontAZo/dereferrer/?redirectUrl=https%3A%2F%2Fwww.bundesfinanzhof.de%2Fde%2Fentscheidung%2Fentscheidungen-online%2Fdetail%2FSTRE202450098%2F" TargetMode="External"/><Relationship Id="rId5" Type="http://schemas.openxmlformats.org/officeDocument/2006/relationships/footnotes" Target="footnotes.xml"/><Relationship Id="rId15" Type="http://schemas.openxmlformats.org/officeDocument/2006/relationships/hyperlink" Target="https://deref-gmx.net/mail/client/rEO-fHzZIYk/dereferrer/?redirectUrl=https%3A%2F%2Fwww.justiz.nrw%2Fnrwe%2Farbgs%2Fduesseldorf%2Flag_duesseldorf%2Fj2024%2FNRWE_LAG_D_sseldorf_14_SLa_81_24_Urteil_20240515.html" TargetMode="External"/><Relationship Id="rId23" Type="http://schemas.openxmlformats.org/officeDocument/2006/relationships/hyperlink" Target="https://deref-gmx.net/mail/client/IwkC-W8AIdo/dereferrer/?redirectUrl=https%3A%2F%2Fwww.bundesfinanzhof.de%2Fde%2Fentscheidung%2Fentscheidungen-online%2Fdetail%2FSTRE202410106%2F" TargetMode="External"/><Relationship Id="rId28" Type="http://schemas.openxmlformats.org/officeDocument/2006/relationships/header" Target="header1.xml"/><Relationship Id="rId10" Type="http://schemas.openxmlformats.org/officeDocument/2006/relationships/hyperlink" Target="https://deref-gmx.net/mail/client/n3l0r6rYkkU/dereferrer/?redirectUrl=https%3A%2F%2Fwww.bundesverfassungsgericht.de%2FSharedDocs%2FEntscheidungen%2FDE%2F2024%2F07%2Frk20240702_1bvr223123.html" TargetMode="External"/><Relationship Id="rId19" Type="http://schemas.openxmlformats.org/officeDocument/2006/relationships/hyperlink" Target="https://deref-gmx.net/mail/client/VjjFS1SULPM/dereferrer/?redirectUrl=https%3A%2F%2Fwww.rv.hessenrecht.hessen.de%2Fbshe%2Fdocument%2FLARE24000077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ref-gmx.net/mail/client/7TGnXQTathE/dereferrer/?redirectUrl=https%3A%2F%2Fwww.bundesverfassungsgericht.de%2FSharedDocs%2FEntscheidungen%2FDE%2F2024%2F07%2Frk20240702_1bvr224423.html" TargetMode="External"/><Relationship Id="rId14" Type="http://schemas.openxmlformats.org/officeDocument/2006/relationships/hyperlink" Target="https://deref-gmx.net/mail/client/ZAu7atdAvcg/dereferrer/?redirectUrl=https%3A%2F%2Fwww.justiz.nrw%2Fnrwe%2Farbgs%2Fduesseldorf%2Flag_duesseldorf%2Fj2024%2FNRWE_LAG_D_sseldorf_3_Ta_51_24_Beschluss_20240628.html" TargetMode="External"/><Relationship Id="rId22" Type="http://schemas.openxmlformats.org/officeDocument/2006/relationships/hyperlink" Target="https://deref-gmx.net/mail/client/PaZyaRuDxEc/dereferrer/?redirectUrl=https%3A%2F%2Fwww.gesetze-bayern.de%2FContent%2FDocument%2FY-300-Z-BECKRS-B-2023-N-24312%3Fhl%3Dtrue" TargetMode="External"/><Relationship Id="rId27" Type="http://schemas.openxmlformats.org/officeDocument/2006/relationships/hyperlink" Target="http://www.vdaa.d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3105</Words>
  <Characters>19564</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Unternehmensdepesche</vt:lpstr>
    </vt:vector>
  </TitlesOfParts>
  <Company>Dr. Gaupp &amp; Coll.</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Unternehmensdepesche</cp:keywords>
  <dc:description/>
  <cp:lastModifiedBy>Märkle</cp:lastModifiedBy>
  <cp:revision>3</cp:revision>
  <dcterms:created xsi:type="dcterms:W3CDTF">2024-08-02T14:57:00Z</dcterms:created>
  <dcterms:modified xsi:type="dcterms:W3CDTF">2024-08-02T14:57:00Z</dcterms:modified>
</cp:coreProperties>
</file>