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13" w:rsidRPr="00A42CF9" w:rsidRDefault="008C0513" w:rsidP="00A42CF9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A42CF9" w:rsidRPr="00A42CF9" w:rsidRDefault="00A42CF9" w:rsidP="00A42C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42CF9">
        <w:rPr>
          <w:rFonts w:ascii="Arial" w:hAnsi="Arial" w:cs="Arial"/>
          <w:b/>
          <w:bCs/>
        </w:rPr>
        <w:t>Eltern behinderter Kinder genießen besonderen Schutz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A42CF9" w:rsidRDefault="00A42CF9" w:rsidP="00A42CF9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A42CF9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A42CF9">
        <w:rPr>
          <w:rFonts w:ascii="Arial" w:eastAsia="Calibri" w:hAnsi="Arial" w:cs="Arial"/>
        </w:rPr>
        <w:t>Görzel</w:t>
      </w:r>
      <w:proofErr w:type="spellEnd"/>
      <w:r w:rsidRPr="00A42CF9">
        <w:rPr>
          <w:rFonts w:ascii="Arial" w:eastAsia="Calibri" w:hAnsi="Arial" w:cs="Arial"/>
        </w:rPr>
        <w:t>, Köln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42CF9">
        <w:rPr>
          <w:rFonts w:ascii="Arial" w:hAnsi="Arial" w:cs="Arial"/>
          <w:b/>
          <w:bCs/>
        </w:rPr>
        <w:t>Der Europäische Gerichtshof hat klargestellt: Auch Eltern von behinderten Kindern sind vor indirekter Diskriminierung am Arbeitsplatz geschützt. Arbeitgeber müssen die Arbeitsbedingungen so anpassen, dass diese Eltern ihre Kinder versorgen können – ohne Angst vor Benachteiligung.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  <w:r w:rsidRPr="00A42CF9">
        <w:rPr>
          <w:rFonts w:ascii="Arial" w:hAnsi="Arial" w:cs="Arial"/>
        </w:rPr>
        <w:t xml:space="preserve">Den Fall erklärt der Kölner </w:t>
      </w:r>
      <w:bookmarkStart w:id="1" w:name="_Hlk121675774"/>
      <w:r w:rsidRPr="00A42CF9">
        <w:rPr>
          <w:rFonts w:ascii="Arial" w:hAnsi="Arial" w:cs="Arial"/>
        </w:rPr>
        <w:t xml:space="preserve">Fachanwalt für Arbeitsrecht Volker </w:t>
      </w:r>
      <w:proofErr w:type="spellStart"/>
      <w:r w:rsidRPr="00A42CF9">
        <w:rPr>
          <w:rFonts w:ascii="Arial" w:hAnsi="Arial" w:cs="Arial"/>
        </w:rPr>
        <w:t>Görzel</w:t>
      </w:r>
      <w:proofErr w:type="spellEnd"/>
      <w:r w:rsidRPr="00A42CF9">
        <w:rPr>
          <w:rFonts w:ascii="Arial" w:hAnsi="Arial" w:cs="Arial"/>
        </w:rPr>
        <w:t xml:space="preserve">, </w:t>
      </w:r>
      <w:bookmarkEnd w:id="1"/>
      <w:r w:rsidRPr="00A42CF9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A42CF9">
        <w:rPr>
          <w:rFonts w:ascii="Arial" w:hAnsi="Arial" w:cs="Arial"/>
        </w:rPr>
        <w:t>ArbeitsrechtsAnwälte</w:t>
      </w:r>
      <w:proofErr w:type="spellEnd"/>
      <w:r w:rsidRPr="00A42CF9">
        <w:rPr>
          <w:rFonts w:ascii="Arial" w:hAnsi="Arial" w:cs="Arial"/>
        </w:rPr>
        <w:t xml:space="preserve"> e. V. mit Sitz in Stuttgart.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42CF9">
        <w:rPr>
          <w:rFonts w:ascii="Arial" w:hAnsi="Arial" w:cs="Arial"/>
          <w:bCs/>
        </w:rPr>
        <w:t>Der</w:t>
      </w:r>
      <w:r w:rsidRPr="00A42CF9">
        <w:rPr>
          <w:rFonts w:ascii="Arial" w:hAnsi="Arial" w:cs="Arial"/>
          <w:b/>
          <w:bCs/>
        </w:rPr>
        <w:t xml:space="preserve"> konkrete Fall</w:t>
      </w:r>
    </w:p>
    <w:p w:rsidR="00A42CF9" w:rsidRPr="004F55A9" w:rsidRDefault="00A42CF9" w:rsidP="00A42CF9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  <w:r w:rsidRPr="00A42CF9">
        <w:rPr>
          <w:rFonts w:ascii="Arial" w:hAnsi="Arial" w:cs="Arial"/>
        </w:rPr>
        <w:t xml:space="preserve">Eine Stationsaufsicht bat ihren Arbeitgeber mehrmals, sie an einem Arbeitsplatz mit festen Arbeitszeiten einzusetzen. Grund: Sie musste sich um ihren schwerbehinderten Sohn kümmern. Der Arbeitgeber stimmte vorübergehend zu, verweigerte aber eine dauerhafte Regelung. Die Arbeitnehmerin zog vor Gericht – </w:t>
      </w:r>
      <w:proofErr w:type="gramStart"/>
      <w:r w:rsidRPr="00A42CF9">
        <w:rPr>
          <w:rFonts w:ascii="Arial" w:hAnsi="Arial" w:cs="Arial"/>
        </w:rPr>
        <w:t>bis der Fall</w:t>
      </w:r>
      <w:proofErr w:type="gramEnd"/>
      <w:r w:rsidRPr="00A42CF9">
        <w:rPr>
          <w:rFonts w:ascii="Arial" w:hAnsi="Arial" w:cs="Arial"/>
        </w:rPr>
        <w:t xml:space="preserve"> schließlich beim Europäischen Gerichtshof landete.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42CF9">
        <w:rPr>
          <w:rFonts w:ascii="Arial" w:hAnsi="Arial" w:cs="Arial"/>
          <w:b/>
          <w:bCs/>
        </w:rPr>
        <w:t>Die Entscheidung des Gerichts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  <w:r w:rsidRPr="00A42CF9">
        <w:rPr>
          <w:rFonts w:ascii="Arial" w:hAnsi="Arial" w:cs="Arial"/>
        </w:rPr>
        <w:t>Der EuGH stellte klar: Das Verbot der Diskriminierung wegen einer Behinderung gilt auch für Eltern, die ein behindertes Kind betreuen. Arbeitgeber müssen angemessene Vorkehrungen treffen, damit Beschäftigte ihre familiären Pflichten erfüllen können.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42CF9">
        <w:rPr>
          <w:rFonts w:ascii="Arial" w:hAnsi="Arial" w:cs="Arial"/>
          <w:b/>
          <w:bCs/>
        </w:rPr>
        <w:t>Grenzen für Arbeitgeber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  <w:r w:rsidRPr="00A42CF9">
        <w:rPr>
          <w:rFonts w:ascii="Arial" w:hAnsi="Arial" w:cs="Arial"/>
        </w:rPr>
        <w:t>Allerdings gilt dieser Schutz nicht grenzenlos. Der Arbeitgeber muss Anpassungen nur dann umsetzen, wenn sie ihn nicht unverhältnismäßig belasten. Ob dies im Einzelfall zutrifft, prüfen die nationalen Gerichte.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42CF9">
        <w:rPr>
          <w:rFonts w:ascii="Arial" w:hAnsi="Arial" w:cs="Arial"/>
          <w:b/>
          <w:bCs/>
        </w:rPr>
        <w:t>Was das Urteil bedeutet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  <w:bCs/>
        </w:rPr>
      </w:pPr>
    </w:p>
    <w:p w:rsidR="00A42CF9" w:rsidRPr="00A42CF9" w:rsidRDefault="00A42CF9" w:rsidP="00A42CF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42CF9">
        <w:rPr>
          <w:rFonts w:ascii="Arial" w:hAnsi="Arial" w:cs="Arial"/>
        </w:rPr>
        <w:t>Eltern behinderter Kinder dürfen nicht benachteiligt werden.</w:t>
      </w:r>
    </w:p>
    <w:p w:rsidR="00A42CF9" w:rsidRPr="00A42CF9" w:rsidRDefault="00A42CF9" w:rsidP="00A42CF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42CF9">
        <w:rPr>
          <w:rFonts w:ascii="Arial" w:hAnsi="Arial" w:cs="Arial"/>
        </w:rPr>
        <w:t>Arbeitgeber müssen flexible Lösungen anbieten.</w:t>
      </w:r>
    </w:p>
    <w:p w:rsidR="00A42CF9" w:rsidRPr="00A42CF9" w:rsidRDefault="00A42CF9" w:rsidP="00A42CF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42CF9">
        <w:rPr>
          <w:rFonts w:ascii="Arial" w:hAnsi="Arial" w:cs="Arial"/>
        </w:rPr>
        <w:t>Gleichzeitig werden die Interessen des Unternehmens berücksichtigt.</w:t>
      </w: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42CF9">
        <w:rPr>
          <w:rFonts w:ascii="Arial" w:hAnsi="Arial" w:cs="Arial"/>
        </w:rPr>
        <w:t>Görzel</w:t>
      </w:r>
      <w:proofErr w:type="spellEnd"/>
      <w:r w:rsidRPr="00A42CF9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A42CF9">
        <w:rPr>
          <w:rFonts w:ascii="Arial" w:hAnsi="Arial" w:cs="Arial"/>
        </w:rPr>
        <w:t>ArbeitsrechtsAnwälte</w:t>
      </w:r>
      <w:proofErr w:type="spellEnd"/>
      <w:r w:rsidRPr="00A42CF9">
        <w:rPr>
          <w:rFonts w:ascii="Arial" w:hAnsi="Arial" w:cs="Arial"/>
        </w:rPr>
        <w:t xml:space="preserve"> e. V. – </w:t>
      </w:r>
      <w:hyperlink r:id="rId7" w:history="1">
        <w:r w:rsidRPr="00A42CF9">
          <w:rPr>
            <w:rStyle w:val="Hyperlink"/>
            <w:rFonts w:ascii="Arial" w:hAnsi="Arial" w:cs="Arial"/>
          </w:rPr>
          <w:t>www.vdaa.de</w:t>
        </w:r>
      </w:hyperlink>
      <w:r w:rsidRPr="00A42CF9">
        <w:rPr>
          <w:rFonts w:ascii="Arial" w:hAnsi="Arial" w:cs="Arial"/>
        </w:rPr>
        <w:t xml:space="preserve"> – verwies</w:t>
      </w:r>
      <w:r w:rsidRPr="00A42CF9">
        <w:rPr>
          <w:rFonts w:ascii="Arial" w:hAnsi="Arial" w:cs="Arial"/>
          <w:b/>
        </w:rPr>
        <w:t>.</w:t>
      </w:r>
    </w:p>
    <w:p w:rsidR="00A81404" w:rsidRPr="00A42CF9" w:rsidRDefault="00A81404" w:rsidP="00A42CF9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A42CF9" w:rsidRPr="00A42CF9" w:rsidRDefault="00A42CF9" w:rsidP="00A42CF9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:rsidR="001858A5" w:rsidRPr="00A42CF9" w:rsidRDefault="001858A5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42CF9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A42CF9" w:rsidRDefault="00367814" w:rsidP="004F55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A42CF9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2CF9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A42CF9">
        <w:rPr>
          <w:rFonts w:ascii="Arial" w:hAnsi="Arial" w:cs="Arial"/>
          <w:sz w:val="20"/>
          <w:szCs w:val="20"/>
        </w:rPr>
        <w:t xml:space="preserve"> </w:t>
      </w:r>
    </w:p>
    <w:p w:rsidR="001858A5" w:rsidRPr="00A42CF9" w:rsidRDefault="001858A5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A42CF9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2CF9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A42CF9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A42CF9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2CF9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A42CF9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2CF9">
        <w:rPr>
          <w:rFonts w:ascii="Arial" w:hAnsi="Arial" w:cs="Arial"/>
          <w:sz w:val="20"/>
          <w:szCs w:val="20"/>
        </w:rPr>
        <w:lastRenderedPageBreak/>
        <w:t xml:space="preserve">HMS. </w:t>
      </w:r>
      <w:proofErr w:type="spellStart"/>
      <w:r w:rsidRPr="00A42CF9">
        <w:rPr>
          <w:rFonts w:ascii="Arial" w:hAnsi="Arial" w:cs="Arial"/>
          <w:sz w:val="20"/>
          <w:szCs w:val="20"/>
        </w:rPr>
        <w:t>Barthelmeß</w:t>
      </w:r>
      <w:proofErr w:type="spellEnd"/>
      <w:r w:rsidRPr="00A42C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2CF9">
        <w:rPr>
          <w:rFonts w:ascii="Arial" w:hAnsi="Arial" w:cs="Arial"/>
          <w:sz w:val="20"/>
          <w:szCs w:val="20"/>
        </w:rPr>
        <w:t>Görzel</w:t>
      </w:r>
      <w:proofErr w:type="spellEnd"/>
      <w:r w:rsidRPr="00A42CF9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A42CF9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42CF9">
        <w:rPr>
          <w:rFonts w:ascii="Arial" w:hAnsi="Arial" w:cs="Arial"/>
          <w:sz w:val="20"/>
          <w:szCs w:val="20"/>
        </w:rPr>
        <w:t>Hohenstaufenring</w:t>
      </w:r>
      <w:proofErr w:type="spellEnd"/>
      <w:r w:rsidRPr="00A42CF9">
        <w:rPr>
          <w:rFonts w:ascii="Arial" w:hAnsi="Arial" w:cs="Arial"/>
          <w:sz w:val="20"/>
          <w:szCs w:val="20"/>
        </w:rPr>
        <w:t xml:space="preserve"> 57 a </w:t>
      </w:r>
      <w:r w:rsidRPr="00A42CF9">
        <w:rPr>
          <w:rFonts w:ascii="Arial" w:hAnsi="Arial" w:cs="Arial"/>
          <w:sz w:val="20"/>
          <w:szCs w:val="20"/>
        </w:rPr>
        <w:tab/>
      </w:r>
      <w:r w:rsidRPr="00A42CF9">
        <w:rPr>
          <w:rFonts w:ascii="Arial" w:hAnsi="Arial" w:cs="Arial"/>
          <w:sz w:val="20"/>
          <w:szCs w:val="20"/>
        </w:rPr>
        <w:tab/>
        <w:t>50674 Köln</w:t>
      </w:r>
    </w:p>
    <w:p w:rsidR="00367814" w:rsidRPr="00A42CF9" w:rsidRDefault="00367814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2CF9">
        <w:rPr>
          <w:rFonts w:ascii="Arial" w:hAnsi="Arial" w:cs="Arial"/>
          <w:sz w:val="20"/>
          <w:szCs w:val="20"/>
        </w:rPr>
        <w:t>Telefon: 0221/ 29 21 92 0</w:t>
      </w:r>
      <w:r w:rsidRPr="00A42CF9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A42CF9" w:rsidRDefault="00143038" w:rsidP="004F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A42CF9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A42CF9">
        <w:rPr>
          <w:rFonts w:ascii="Arial" w:hAnsi="Arial" w:cs="Arial"/>
          <w:sz w:val="20"/>
          <w:szCs w:val="20"/>
        </w:rPr>
        <w:tab/>
        <w:t xml:space="preserve"> </w:t>
      </w:r>
      <w:r w:rsidR="00367814" w:rsidRPr="00A42CF9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A42CF9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A42CF9" w:rsidRDefault="00A82319" w:rsidP="004F55A9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A42CF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038" w:rsidRDefault="00143038" w:rsidP="005A26C4">
      <w:pPr>
        <w:spacing w:after="0" w:line="240" w:lineRule="auto"/>
      </w:pPr>
      <w:r>
        <w:separator/>
      </w:r>
    </w:p>
  </w:endnote>
  <w:endnote w:type="continuationSeparator" w:id="0">
    <w:p w:rsidR="00143038" w:rsidRDefault="00143038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038" w:rsidRDefault="00143038" w:rsidP="005A26C4">
      <w:pPr>
        <w:spacing w:after="0" w:line="240" w:lineRule="auto"/>
      </w:pPr>
      <w:r>
        <w:separator/>
      </w:r>
    </w:p>
  </w:footnote>
  <w:footnote w:type="continuationSeparator" w:id="0">
    <w:p w:rsidR="00143038" w:rsidRDefault="00143038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A375D6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A42CF9">
      <w:rPr>
        <w:rFonts w:ascii="Arial" w:eastAsia="Calibri" w:hAnsi="Arial" w:cs="Arial"/>
        <w:b/>
        <w:bCs/>
        <w:sz w:val="28"/>
        <w:szCs w:val="28"/>
        <w:lang w:eastAsia="de-DE"/>
      </w:rPr>
      <w:t>9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A42CF9">
      <w:rPr>
        <w:rFonts w:ascii="Arial" w:eastAsia="Calibri" w:hAnsi="Arial" w:cs="Arial"/>
        <w:b/>
        <w:bCs/>
        <w:sz w:val="28"/>
        <w:szCs w:val="28"/>
        <w:lang w:eastAsia="de-DE"/>
      </w:rPr>
      <w:t>5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43038"/>
    <w:rsid w:val="001858A5"/>
    <w:rsid w:val="001A2659"/>
    <w:rsid w:val="001B5E55"/>
    <w:rsid w:val="001F47ED"/>
    <w:rsid w:val="00232ED3"/>
    <w:rsid w:val="00280686"/>
    <w:rsid w:val="00286EB0"/>
    <w:rsid w:val="002A1A1B"/>
    <w:rsid w:val="002B4E59"/>
    <w:rsid w:val="002F67F6"/>
    <w:rsid w:val="003558BF"/>
    <w:rsid w:val="00367814"/>
    <w:rsid w:val="00390ACD"/>
    <w:rsid w:val="003D2759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936B9"/>
    <w:rsid w:val="006B755A"/>
    <w:rsid w:val="006F372F"/>
    <w:rsid w:val="007810AC"/>
    <w:rsid w:val="007B4353"/>
    <w:rsid w:val="007E2B72"/>
    <w:rsid w:val="00817007"/>
    <w:rsid w:val="008406B2"/>
    <w:rsid w:val="00846A64"/>
    <w:rsid w:val="008A1DB8"/>
    <w:rsid w:val="008C0513"/>
    <w:rsid w:val="00936146"/>
    <w:rsid w:val="00985B0C"/>
    <w:rsid w:val="00991CBA"/>
    <w:rsid w:val="0099463F"/>
    <w:rsid w:val="009A15EB"/>
    <w:rsid w:val="009B448F"/>
    <w:rsid w:val="009E21A8"/>
    <w:rsid w:val="00A375D6"/>
    <w:rsid w:val="00A42CF9"/>
    <w:rsid w:val="00A722BC"/>
    <w:rsid w:val="00A81404"/>
    <w:rsid w:val="00A82319"/>
    <w:rsid w:val="00A827D9"/>
    <w:rsid w:val="00AC6B8A"/>
    <w:rsid w:val="00B5447C"/>
    <w:rsid w:val="00B830A2"/>
    <w:rsid w:val="00BB442F"/>
    <w:rsid w:val="00BC512C"/>
    <w:rsid w:val="00C77E45"/>
    <w:rsid w:val="00C95762"/>
    <w:rsid w:val="00D079B6"/>
    <w:rsid w:val="00D1355D"/>
    <w:rsid w:val="00D13872"/>
    <w:rsid w:val="00D1712B"/>
    <w:rsid w:val="00D64924"/>
    <w:rsid w:val="00DB65DB"/>
    <w:rsid w:val="00DC3D53"/>
    <w:rsid w:val="00EA2FD9"/>
    <w:rsid w:val="00EB1644"/>
    <w:rsid w:val="00ED06A4"/>
    <w:rsid w:val="00F0476D"/>
    <w:rsid w:val="00F61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127E7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Vorlagen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2025-10-05T15:04:00Z</dcterms:created>
  <dcterms:modified xsi:type="dcterms:W3CDTF">2025-10-05T15:04:00Z</dcterms:modified>
</cp:coreProperties>
</file>