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91B" w:rsidRPr="00490A78" w:rsidRDefault="00FB491B" w:rsidP="00490A78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FB491B" w:rsidRPr="00490A78" w:rsidRDefault="00FB491B" w:rsidP="00490A7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90A78">
        <w:rPr>
          <w:rFonts w:ascii="Arial" w:hAnsi="Arial" w:cs="Arial"/>
          <w:b/>
          <w:bCs/>
        </w:rPr>
        <w:t>Kündigung, Freistellung und Dienstwagen – BAG setzt klare Grenzen</w:t>
      </w:r>
    </w:p>
    <w:p w:rsidR="00FB491B" w:rsidRPr="00490A78" w:rsidRDefault="00FB491B" w:rsidP="00490A78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FB491B" w:rsidRPr="00490A78" w:rsidRDefault="00FB491B" w:rsidP="00490A78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490A78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490A78">
        <w:rPr>
          <w:rFonts w:ascii="Arial" w:eastAsia="Calibri" w:hAnsi="Arial" w:cs="Arial"/>
        </w:rPr>
        <w:t>Görzel</w:t>
      </w:r>
      <w:proofErr w:type="spellEnd"/>
      <w:r w:rsidRPr="00490A78">
        <w:rPr>
          <w:rFonts w:ascii="Arial" w:eastAsia="Calibri" w:hAnsi="Arial" w:cs="Arial"/>
        </w:rPr>
        <w:t>, Köln</w:t>
      </w:r>
    </w:p>
    <w:p w:rsidR="00FB491B" w:rsidRPr="00490A78" w:rsidRDefault="00FB491B" w:rsidP="00490A78">
      <w:pPr>
        <w:spacing w:after="0" w:line="240" w:lineRule="auto"/>
        <w:jc w:val="both"/>
        <w:rPr>
          <w:rFonts w:ascii="Arial" w:hAnsi="Arial" w:cs="Arial"/>
          <w:bCs/>
        </w:rPr>
      </w:pPr>
    </w:p>
    <w:p w:rsidR="00FB491B" w:rsidRPr="00490A78" w:rsidRDefault="00FB491B" w:rsidP="00490A7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0A78">
        <w:rPr>
          <w:rFonts w:ascii="Arial" w:hAnsi="Arial" w:cs="Arial"/>
          <w:b/>
          <w:bCs/>
        </w:rPr>
        <w:t>Nach einer Kündigung stellen viele Arbeitgeber ihre Mitarbeiter frei – bei voller Bezahlung, aber ohne Arbeitsleistung. Das wirkt zunächst unkompliziert. In der Praxis führt es jedoch häufig zu Konflikten. Besonders dann, wenn zusätzliche Leistungen wie ein Dienstwagen betroffen sind.</w:t>
      </w:r>
    </w:p>
    <w:p w:rsidR="00FB491B" w:rsidRPr="00490A78" w:rsidRDefault="00FB491B" w:rsidP="00490A78">
      <w:pPr>
        <w:spacing w:after="0" w:line="240" w:lineRule="auto"/>
        <w:jc w:val="both"/>
        <w:rPr>
          <w:rFonts w:ascii="Arial" w:hAnsi="Arial" w:cs="Arial"/>
          <w:bCs/>
        </w:rPr>
      </w:pPr>
    </w:p>
    <w:p w:rsidR="00FB491B" w:rsidRDefault="00FB491B" w:rsidP="00490A78">
      <w:pPr>
        <w:spacing w:after="0" w:line="240" w:lineRule="auto"/>
        <w:jc w:val="both"/>
        <w:rPr>
          <w:rFonts w:ascii="Arial" w:hAnsi="Arial" w:cs="Arial"/>
        </w:rPr>
      </w:pPr>
      <w:r w:rsidRPr="00490A78">
        <w:rPr>
          <w:rFonts w:ascii="Arial" w:hAnsi="Arial" w:cs="Arial"/>
        </w:rPr>
        <w:t xml:space="preserve">Genau dazu hat das Bundesarbeitsgericht entschieden. Den Fall erklärt der Kölner </w:t>
      </w:r>
      <w:bookmarkStart w:id="1" w:name="_Hlk121675774"/>
      <w:r w:rsidRPr="00490A78">
        <w:rPr>
          <w:rFonts w:ascii="Arial" w:hAnsi="Arial" w:cs="Arial"/>
        </w:rPr>
        <w:t xml:space="preserve">Fachanwalt für Arbeitsrecht Volker </w:t>
      </w:r>
      <w:proofErr w:type="spellStart"/>
      <w:r w:rsidRPr="00490A78">
        <w:rPr>
          <w:rFonts w:ascii="Arial" w:hAnsi="Arial" w:cs="Arial"/>
        </w:rPr>
        <w:t>Görzel</w:t>
      </w:r>
      <w:proofErr w:type="spellEnd"/>
      <w:r w:rsidRPr="00490A78">
        <w:rPr>
          <w:rFonts w:ascii="Arial" w:hAnsi="Arial" w:cs="Arial"/>
        </w:rPr>
        <w:t xml:space="preserve">, </w:t>
      </w:r>
      <w:bookmarkEnd w:id="1"/>
      <w:r w:rsidRPr="00490A78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490A78">
        <w:rPr>
          <w:rFonts w:ascii="Arial" w:hAnsi="Arial" w:cs="Arial"/>
        </w:rPr>
        <w:t>ArbeitsrechtsAnwälte</w:t>
      </w:r>
      <w:proofErr w:type="spellEnd"/>
      <w:r w:rsidRPr="00490A78">
        <w:rPr>
          <w:rFonts w:ascii="Arial" w:hAnsi="Arial" w:cs="Arial"/>
        </w:rPr>
        <w:t xml:space="preserve"> e. V. mit Sitz in Stuttgart.</w:t>
      </w:r>
    </w:p>
    <w:p w:rsidR="00490A78" w:rsidRPr="00490A78" w:rsidRDefault="00490A78" w:rsidP="00490A78">
      <w:pPr>
        <w:spacing w:after="0" w:line="240" w:lineRule="auto"/>
        <w:jc w:val="both"/>
        <w:rPr>
          <w:rFonts w:ascii="Arial" w:hAnsi="Arial" w:cs="Arial"/>
        </w:rPr>
      </w:pPr>
    </w:p>
    <w:p w:rsidR="00FB491B" w:rsidRPr="00490A78" w:rsidRDefault="00FB491B" w:rsidP="00490A78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490A78">
        <w:rPr>
          <w:rFonts w:ascii="Arial" w:hAnsi="Arial" w:cs="Arial"/>
          <w:b/>
          <w:bCs/>
          <w:lang w:eastAsia="de-DE"/>
        </w:rPr>
        <w:t>Der Fall: Kündigung, Freistellung – und der Dienstwagen ist weg</w:t>
      </w:r>
    </w:p>
    <w:p w:rsidR="00490A78" w:rsidRDefault="00490A78" w:rsidP="00490A7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490A78" w:rsidRDefault="00FB491B" w:rsidP="00490A7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Ein Arbeitnehmer nutzte seinen Firmenwagen auch privat.</w:t>
      </w:r>
    </w:p>
    <w:p w:rsidR="00FB491B" w:rsidRPr="00490A78" w:rsidRDefault="00FB491B" w:rsidP="00490A7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Nach der Kündigung stellte der Arbeitgeber ihn frei und verlangte den Wagen zurück.</w:t>
      </w:r>
    </w:p>
    <w:p w:rsidR="00490A78" w:rsidRDefault="00490A78" w:rsidP="00490A7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490A78" w:rsidRDefault="00FB491B" w:rsidP="00490A7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Der Arbeitsvertrag enthielt eine entsprechende Regelung:</w:t>
      </w:r>
    </w:p>
    <w:p w:rsidR="00FB491B" w:rsidRPr="00490A78" w:rsidRDefault="00FB491B" w:rsidP="00490A7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Der Arbeitgeber durfte den Arbeitnehmer „bei oder nach Ausspruch einer Kündigung“ freistellen – unabhängig davon, wer gekündigt hatte.</w:t>
      </w:r>
    </w:p>
    <w:p w:rsidR="00490A78" w:rsidRDefault="00490A78" w:rsidP="00490A7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490A78" w:rsidRDefault="00FB491B" w:rsidP="00490A7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Der Arbeitnehmer hielt das für unzulässig.</w:t>
      </w:r>
    </w:p>
    <w:p w:rsidR="00FB491B" w:rsidRPr="00490A78" w:rsidRDefault="00FB491B" w:rsidP="00490A7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Er verlangte zumindest eine Nutzungsausfallentschädigung</w:t>
      </w:r>
    </w:p>
    <w:p w:rsidR="00490A78" w:rsidRPr="00490A78" w:rsidRDefault="00490A78" w:rsidP="00490A78">
      <w:pPr>
        <w:spacing w:after="0" w:line="240" w:lineRule="auto"/>
        <w:jc w:val="both"/>
        <w:outlineLvl w:val="2"/>
        <w:rPr>
          <w:rFonts w:ascii="Arial" w:hAnsi="Arial" w:cs="Arial"/>
          <w:bCs/>
          <w:lang w:eastAsia="de-DE"/>
        </w:rPr>
      </w:pPr>
    </w:p>
    <w:p w:rsidR="00FB491B" w:rsidRPr="00490A78" w:rsidRDefault="00FB491B" w:rsidP="00490A78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490A78">
        <w:rPr>
          <w:rFonts w:ascii="Arial" w:hAnsi="Arial" w:cs="Arial"/>
          <w:b/>
          <w:bCs/>
          <w:lang w:eastAsia="de-DE"/>
        </w:rPr>
        <w:t>Das Urteil: Pauschale Freistellungsklauseln sind unwirksam</w:t>
      </w:r>
    </w:p>
    <w:p w:rsidR="00490A78" w:rsidRDefault="00490A78" w:rsidP="00490A7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Das Bundesarbeitsgericht stellte klar:</w:t>
      </w: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Eine pauschale Freistellungsklausel im Arbeitsvertrag ist unwirksam.</w:t>
      </w:r>
    </w:p>
    <w:p w:rsidR="007B700B" w:rsidRDefault="007B700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Der Grund:</w:t>
      </w:r>
    </w:p>
    <w:p w:rsidR="00FB491B" w:rsidRPr="00490A78" w:rsidRDefault="00FB491B" w:rsidP="007B700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Es handelt sich um Allgemeine Geschäftsbedingungen (AGB)</w:t>
      </w:r>
    </w:p>
    <w:p w:rsidR="00FB491B" w:rsidRPr="00490A78" w:rsidRDefault="00FB491B" w:rsidP="007B700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Diese unterliegen einer Inhaltskontrolle</w:t>
      </w:r>
    </w:p>
    <w:p w:rsidR="00FB491B" w:rsidRPr="00490A78" w:rsidRDefault="00FB491B" w:rsidP="007B700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Die Klausel benachteiligt Arbeitnehmer unangemessen</w:t>
      </w:r>
    </w:p>
    <w:p w:rsidR="007B700B" w:rsidRDefault="007B700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Entscheidend ist:</w:t>
      </w: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Arbeitnehmer haben ein grundrechtlich geschütztes Interesse daran, bis zum Ende des Arbeitsverhältnisses beschäftigt zu werden.</w:t>
      </w: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Eine Klausel, die dieses Interesse vollständig ausschließt, ist unzulässig.</w:t>
      </w:r>
    </w:p>
    <w:p w:rsidR="007B700B" w:rsidRPr="007B700B" w:rsidRDefault="007B700B" w:rsidP="007B700B">
      <w:pPr>
        <w:spacing w:after="0" w:line="240" w:lineRule="auto"/>
        <w:jc w:val="both"/>
        <w:outlineLvl w:val="2"/>
        <w:rPr>
          <w:rFonts w:ascii="Arial" w:hAnsi="Arial" w:cs="Arial"/>
          <w:bCs/>
          <w:lang w:eastAsia="de-DE"/>
        </w:rPr>
      </w:pPr>
    </w:p>
    <w:p w:rsidR="00FB491B" w:rsidRPr="00490A78" w:rsidRDefault="00FB491B" w:rsidP="007B700B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490A78">
        <w:rPr>
          <w:rFonts w:ascii="Arial" w:hAnsi="Arial" w:cs="Arial"/>
          <w:b/>
          <w:bCs/>
          <w:lang w:eastAsia="de-DE"/>
        </w:rPr>
        <w:t>Bedeutet das automatisch: Weiterbeschäftigung und Dienstwagen?</w:t>
      </w:r>
    </w:p>
    <w:p w:rsidR="007B700B" w:rsidRDefault="007B700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Nein.</w:t>
      </w:r>
    </w:p>
    <w:p w:rsidR="007B700B" w:rsidRDefault="007B700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7B700B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Das Gericht betont ausdrücklich:</w:t>
      </w: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Auch ohne wirksame Klausel kann eine Freistellung zulässig sein.</w:t>
      </w: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Voraussetzung ist jedoch eine konkrete Interessenabwägung.</w:t>
      </w:r>
    </w:p>
    <w:p w:rsidR="003D7954" w:rsidRDefault="003D7954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lastRenderedPageBreak/>
        <w:t>Mögliche Gründe auf Arbeitgeberseite:</w:t>
      </w:r>
    </w:p>
    <w:p w:rsidR="00FB491B" w:rsidRPr="00490A78" w:rsidRDefault="00FB491B" w:rsidP="007B700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Schutz von Geschäftsgeheimnissen</w:t>
      </w:r>
    </w:p>
    <w:p w:rsidR="00FB491B" w:rsidRPr="00490A78" w:rsidRDefault="00FB491B" w:rsidP="007B700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Vertrauensverlust</w:t>
      </w:r>
    </w:p>
    <w:p w:rsidR="00FB491B" w:rsidRPr="00490A78" w:rsidRDefault="00FB491B" w:rsidP="007B700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Störungen im Betrieb</w:t>
      </w:r>
    </w:p>
    <w:p w:rsidR="00FB491B" w:rsidRPr="00490A78" w:rsidRDefault="00FB491B" w:rsidP="007B700B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organisatorische Umstellungen</w:t>
      </w: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Es kommt also immer auf den Einzelfall an.</w:t>
      </w:r>
    </w:p>
    <w:p w:rsidR="007B700B" w:rsidRPr="007B700B" w:rsidRDefault="007B700B" w:rsidP="007B700B">
      <w:pPr>
        <w:spacing w:after="0" w:line="240" w:lineRule="auto"/>
        <w:jc w:val="both"/>
        <w:outlineLvl w:val="2"/>
        <w:rPr>
          <w:rFonts w:ascii="Arial" w:hAnsi="Arial" w:cs="Arial"/>
          <w:bCs/>
          <w:lang w:eastAsia="de-DE"/>
        </w:rPr>
      </w:pPr>
    </w:p>
    <w:p w:rsidR="00FB491B" w:rsidRPr="00490A78" w:rsidRDefault="00FB491B" w:rsidP="007B700B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490A78">
        <w:rPr>
          <w:rFonts w:ascii="Arial" w:hAnsi="Arial" w:cs="Arial"/>
          <w:b/>
          <w:bCs/>
          <w:lang w:eastAsia="de-DE"/>
        </w:rPr>
        <w:t>Warum der Fall noch nicht entschieden ist</w:t>
      </w: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Das Landesarbeitsgericht hatte diese Interessenabwägung nicht ausreichend vorgenommen.</w:t>
      </w:r>
    </w:p>
    <w:p w:rsidR="007B700B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Deshalb wurde der Fall zurückverwiesen.</w:t>
      </w:r>
    </w:p>
    <w:p w:rsidR="00FB491B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Das Gericht muss nun erneut prüfen, ob die Freistellung im konkreten Fall gerechtfertigt war.</w:t>
      </w:r>
    </w:p>
    <w:p w:rsidR="003D7954" w:rsidRPr="00490A78" w:rsidRDefault="003D7954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FB491B" w:rsidRPr="00490A78" w:rsidRDefault="00FB491B" w:rsidP="007B700B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490A78">
        <w:rPr>
          <w:rFonts w:ascii="Arial" w:hAnsi="Arial" w:cs="Arial"/>
          <w:b/>
          <w:bCs/>
          <w:lang w:eastAsia="de-DE"/>
        </w:rPr>
        <w:t>Was bedeutet das für Arbeitgeber und Arbeitnehmer?</w:t>
      </w:r>
    </w:p>
    <w:p w:rsidR="003D7954" w:rsidRDefault="003D7954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Für Arbeitgeber:</w:t>
      </w:r>
    </w:p>
    <w:p w:rsidR="00FB491B" w:rsidRPr="00490A78" w:rsidRDefault="00FB491B" w:rsidP="007B700B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Pauschale Klauseln im Arbeitsvertrag sind riskant</w:t>
      </w:r>
    </w:p>
    <w:p w:rsidR="00FB491B" w:rsidRPr="00490A78" w:rsidRDefault="00FB491B" w:rsidP="007B700B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Freistellungen müssen im Einzelfall begründet werden</w:t>
      </w:r>
    </w:p>
    <w:p w:rsidR="00FB491B" w:rsidRPr="00490A78" w:rsidRDefault="00FB491B" w:rsidP="007B700B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Auch die Rückgabe eines Dienstwagens sollte rechtlich abgesichert sein</w:t>
      </w:r>
    </w:p>
    <w:p w:rsidR="003D7954" w:rsidRDefault="003D7954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Für Arbeitnehmer:</w:t>
      </w:r>
    </w:p>
    <w:p w:rsidR="00FB491B" w:rsidRPr="00490A78" w:rsidRDefault="00FB491B" w:rsidP="007B700B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Eine Freistellung ist nicht automatisch wirksam</w:t>
      </w:r>
    </w:p>
    <w:p w:rsidR="00FB491B" w:rsidRPr="00490A78" w:rsidRDefault="00FB491B" w:rsidP="007B700B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Der Entzug von Vorteilen kann angreifbar sein</w:t>
      </w:r>
    </w:p>
    <w:p w:rsidR="00FB491B" w:rsidRPr="00490A78" w:rsidRDefault="00FB491B" w:rsidP="007B700B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Unter Umständen besteht ein Anspruch auf Nutzungsausfallentschädigung</w:t>
      </w:r>
    </w:p>
    <w:p w:rsidR="003D7954" w:rsidRPr="00490A78" w:rsidRDefault="003D7954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FB491B" w:rsidRPr="00490A78" w:rsidRDefault="00FB491B" w:rsidP="007B700B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490A78">
        <w:rPr>
          <w:rFonts w:ascii="Arial" w:hAnsi="Arial" w:cs="Arial"/>
          <w:b/>
          <w:bCs/>
          <w:lang w:eastAsia="de-DE"/>
        </w:rPr>
        <w:t>Fazit: Freistellung braucht eine saubere rechtliche Grundlage</w:t>
      </w:r>
    </w:p>
    <w:p w:rsidR="007B700B" w:rsidRDefault="007B700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7B700B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Freistellungen nach Kündigungen sind gängige Praxis.</w:t>
      </w: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Rechtlich sind sie jedoch anspruchsvoll.</w:t>
      </w:r>
    </w:p>
    <w:p w:rsidR="007B700B" w:rsidRDefault="007B700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7B700B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Pauschale Vertragsklauseln genügen nicht.</w:t>
      </w: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490A78">
        <w:rPr>
          <w:rFonts w:ascii="Arial" w:hAnsi="Arial" w:cs="Arial"/>
          <w:lang w:eastAsia="de-DE"/>
        </w:rPr>
        <w:t>Entscheidend ist immer eine sorgfältige Abwägung der Interessen.</w:t>
      </w:r>
    </w:p>
    <w:p w:rsidR="007B700B" w:rsidRDefault="007B700B" w:rsidP="007B700B">
      <w:pPr>
        <w:spacing w:after="0" w:line="240" w:lineRule="auto"/>
        <w:jc w:val="both"/>
        <w:rPr>
          <w:rFonts w:ascii="Arial" w:hAnsi="Arial" w:cs="Arial"/>
        </w:rPr>
      </w:pPr>
    </w:p>
    <w:p w:rsidR="00FB491B" w:rsidRPr="00490A78" w:rsidRDefault="00FB491B" w:rsidP="007B700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90A78">
        <w:rPr>
          <w:rFonts w:ascii="Arial" w:hAnsi="Arial" w:cs="Arial"/>
        </w:rPr>
        <w:t>Görzel</w:t>
      </w:r>
      <w:proofErr w:type="spellEnd"/>
      <w:r w:rsidRPr="00490A78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490A78">
        <w:rPr>
          <w:rFonts w:ascii="Arial" w:hAnsi="Arial" w:cs="Arial"/>
        </w:rPr>
        <w:t>ArbeitsrechtsAnwälte</w:t>
      </w:r>
      <w:proofErr w:type="spellEnd"/>
      <w:r w:rsidRPr="00490A78">
        <w:rPr>
          <w:rFonts w:ascii="Arial" w:hAnsi="Arial" w:cs="Arial"/>
        </w:rPr>
        <w:t xml:space="preserve"> e. V. – </w:t>
      </w:r>
      <w:hyperlink r:id="rId7" w:history="1">
        <w:r w:rsidRPr="00490A78">
          <w:rPr>
            <w:rStyle w:val="Hyperlink"/>
            <w:rFonts w:ascii="Arial" w:hAnsi="Arial" w:cs="Arial"/>
          </w:rPr>
          <w:t>www.vdaa.de</w:t>
        </w:r>
      </w:hyperlink>
      <w:r w:rsidRPr="00490A78">
        <w:rPr>
          <w:rFonts w:ascii="Arial" w:hAnsi="Arial" w:cs="Arial"/>
        </w:rPr>
        <w:t xml:space="preserve"> – verwies</w:t>
      </w:r>
      <w:r w:rsidRPr="00490A78">
        <w:rPr>
          <w:rFonts w:ascii="Arial" w:hAnsi="Arial" w:cs="Arial"/>
          <w:b/>
        </w:rPr>
        <w:t>.</w:t>
      </w:r>
    </w:p>
    <w:p w:rsidR="00B83DEF" w:rsidRPr="00490A78" w:rsidRDefault="00B83DEF" w:rsidP="007B700B">
      <w:pPr>
        <w:spacing w:after="0" w:line="240" w:lineRule="auto"/>
        <w:jc w:val="both"/>
        <w:rPr>
          <w:rFonts w:ascii="Arial" w:hAnsi="Arial" w:cs="Arial"/>
          <w:bCs/>
        </w:rPr>
      </w:pPr>
    </w:p>
    <w:p w:rsidR="00B83DEF" w:rsidRPr="00490A78" w:rsidRDefault="00B83DEF" w:rsidP="007B700B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490A78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0A78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490A78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490A78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A78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490A78">
        <w:rPr>
          <w:rFonts w:ascii="Arial" w:hAnsi="Arial" w:cs="Arial"/>
          <w:sz w:val="20"/>
          <w:szCs w:val="20"/>
        </w:rPr>
        <w:t xml:space="preserve"> </w:t>
      </w:r>
    </w:p>
    <w:p w:rsidR="001858A5" w:rsidRPr="00490A78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490A78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A78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490A78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490A78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A78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490A78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A78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490A78">
        <w:rPr>
          <w:rFonts w:ascii="Arial" w:hAnsi="Arial" w:cs="Arial"/>
          <w:sz w:val="20"/>
          <w:szCs w:val="20"/>
        </w:rPr>
        <w:t>Barthelmeß</w:t>
      </w:r>
      <w:proofErr w:type="spellEnd"/>
      <w:r w:rsidRPr="00490A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0A78">
        <w:rPr>
          <w:rFonts w:ascii="Arial" w:hAnsi="Arial" w:cs="Arial"/>
          <w:sz w:val="20"/>
          <w:szCs w:val="20"/>
        </w:rPr>
        <w:t>Görzel</w:t>
      </w:r>
      <w:proofErr w:type="spellEnd"/>
      <w:r w:rsidRPr="00490A78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490A78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90A78">
        <w:rPr>
          <w:rFonts w:ascii="Arial" w:hAnsi="Arial" w:cs="Arial"/>
          <w:sz w:val="20"/>
          <w:szCs w:val="20"/>
        </w:rPr>
        <w:t>Hohenstaufenring</w:t>
      </w:r>
      <w:proofErr w:type="spellEnd"/>
      <w:r w:rsidRPr="00490A78">
        <w:rPr>
          <w:rFonts w:ascii="Arial" w:hAnsi="Arial" w:cs="Arial"/>
          <w:sz w:val="20"/>
          <w:szCs w:val="20"/>
        </w:rPr>
        <w:t xml:space="preserve"> 57 a </w:t>
      </w:r>
      <w:r w:rsidRPr="00490A78">
        <w:rPr>
          <w:rFonts w:ascii="Arial" w:hAnsi="Arial" w:cs="Arial"/>
          <w:sz w:val="20"/>
          <w:szCs w:val="20"/>
        </w:rPr>
        <w:tab/>
      </w:r>
      <w:r w:rsidRPr="00490A78">
        <w:rPr>
          <w:rFonts w:ascii="Arial" w:hAnsi="Arial" w:cs="Arial"/>
          <w:sz w:val="20"/>
          <w:szCs w:val="20"/>
        </w:rPr>
        <w:tab/>
        <w:t>50674 Köln</w:t>
      </w:r>
    </w:p>
    <w:p w:rsidR="00367814" w:rsidRPr="00490A78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0A78">
        <w:rPr>
          <w:rFonts w:ascii="Arial" w:hAnsi="Arial" w:cs="Arial"/>
          <w:sz w:val="20"/>
          <w:szCs w:val="20"/>
        </w:rPr>
        <w:t>Telefon: 0221/ 29 21 92 0</w:t>
      </w:r>
      <w:r w:rsidRPr="00490A78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490A78" w:rsidRDefault="00C9778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490A78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490A78">
        <w:rPr>
          <w:rFonts w:ascii="Arial" w:hAnsi="Arial" w:cs="Arial"/>
          <w:sz w:val="20"/>
          <w:szCs w:val="20"/>
        </w:rPr>
        <w:tab/>
        <w:t xml:space="preserve"> </w:t>
      </w:r>
      <w:r w:rsidR="00367814" w:rsidRPr="00490A78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490A78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490A78" w:rsidRDefault="00A82319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490A7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784" w:rsidRDefault="00C97784" w:rsidP="005A26C4">
      <w:pPr>
        <w:spacing w:after="0" w:line="240" w:lineRule="auto"/>
      </w:pPr>
      <w:r>
        <w:separator/>
      </w:r>
    </w:p>
  </w:endnote>
  <w:endnote w:type="continuationSeparator" w:id="0">
    <w:p w:rsidR="00C97784" w:rsidRDefault="00C97784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784" w:rsidRDefault="00C97784" w:rsidP="005A26C4">
      <w:pPr>
        <w:spacing w:after="0" w:line="240" w:lineRule="auto"/>
      </w:pPr>
      <w:r>
        <w:separator/>
      </w:r>
    </w:p>
  </w:footnote>
  <w:footnote w:type="continuationSeparator" w:id="0">
    <w:p w:rsidR="00C97784" w:rsidRDefault="00C97784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2E5E17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FB491B">
      <w:rPr>
        <w:rFonts w:ascii="Arial" w:eastAsia="Calibri" w:hAnsi="Arial" w:cs="Arial"/>
        <w:b/>
        <w:bCs/>
        <w:sz w:val="28"/>
        <w:szCs w:val="28"/>
        <w:lang w:eastAsia="de-DE"/>
      </w:rPr>
      <w:t>5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FB491B">
      <w:rPr>
        <w:rFonts w:ascii="Arial" w:eastAsia="Calibri" w:hAnsi="Arial" w:cs="Arial"/>
        <w:b/>
        <w:bCs/>
        <w:sz w:val="28"/>
        <w:szCs w:val="28"/>
        <w:lang w:eastAsia="de-DE"/>
      </w:rPr>
      <w:t>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616F8"/>
    <w:multiLevelType w:val="multilevel"/>
    <w:tmpl w:val="C9B4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46510"/>
    <w:multiLevelType w:val="multilevel"/>
    <w:tmpl w:val="E2A2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B466A"/>
    <w:multiLevelType w:val="multilevel"/>
    <w:tmpl w:val="4E0A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8393B"/>
    <w:multiLevelType w:val="multilevel"/>
    <w:tmpl w:val="7BC4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858A5"/>
    <w:rsid w:val="001A2659"/>
    <w:rsid w:val="001A5A3C"/>
    <w:rsid w:val="001B5E55"/>
    <w:rsid w:val="001F2601"/>
    <w:rsid w:val="001F47ED"/>
    <w:rsid w:val="00232ED3"/>
    <w:rsid w:val="00280686"/>
    <w:rsid w:val="00286EB0"/>
    <w:rsid w:val="002A1A1B"/>
    <w:rsid w:val="002B4E59"/>
    <w:rsid w:val="002B5380"/>
    <w:rsid w:val="002E5E17"/>
    <w:rsid w:val="002F67F6"/>
    <w:rsid w:val="003558BF"/>
    <w:rsid w:val="003670A7"/>
    <w:rsid w:val="00367814"/>
    <w:rsid w:val="00390ACD"/>
    <w:rsid w:val="003D2759"/>
    <w:rsid w:val="003D7954"/>
    <w:rsid w:val="0047202C"/>
    <w:rsid w:val="00490A78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32516"/>
    <w:rsid w:val="00645B26"/>
    <w:rsid w:val="00650B0C"/>
    <w:rsid w:val="006749DC"/>
    <w:rsid w:val="006936B9"/>
    <w:rsid w:val="006B755A"/>
    <w:rsid w:val="006F372F"/>
    <w:rsid w:val="007810AC"/>
    <w:rsid w:val="007B4353"/>
    <w:rsid w:val="007B700B"/>
    <w:rsid w:val="007C37DB"/>
    <w:rsid w:val="007E2B72"/>
    <w:rsid w:val="008406B2"/>
    <w:rsid w:val="00846A64"/>
    <w:rsid w:val="008A1DB8"/>
    <w:rsid w:val="008C0513"/>
    <w:rsid w:val="00901B66"/>
    <w:rsid w:val="009040E3"/>
    <w:rsid w:val="0092715F"/>
    <w:rsid w:val="009331BC"/>
    <w:rsid w:val="00936146"/>
    <w:rsid w:val="00985B0C"/>
    <w:rsid w:val="00991CBA"/>
    <w:rsid w:val="0099463F"/>
    <w:rsid w:val="009A15EB"/>
    <w:rsid w:val="009B05CC"/>
    <w:rsid w:val="009C5BD5"/>
    <w:rsid w:val="009E21A8"/>
    <w:rsid w:val="00A36EB4"/>
    <w:rsid w:val="00A42CF9"/>
    <w:rsid w:val="00A50F9C"/>
    <w:rsid w:val="00A722BC"/>
    <w:rsid w:val="00A81404"/>
    <w:rsid w:val="00A82319"/>
    <w:rsid w:val="00A827D9"/>
    <w:rsid w:val="00AC6B8A"/>
    <w:rsid w:val="00AE79E3"/>
    <w:rsid w:val="00B5447C"/>
    <w:rsid w:val="00B830A2"/>
    <w:rsid w:val="00B83DEF"/>
    <w:rsid w:val="00BB442F"/>
    <w:rsid w:val="00BC512C"/>
    <w:rsid w:val="00C32A03"/>
    <w:rsid w:val="00C77E45"/>
    <w:rsid w:val="00C95762"/>
    <w:rsid w:val="00C97784"/>
    <w:rsid w:val="00D079B6"/>
    <w:rsid w:val="00D1355D"/>
    <w:rsid w:val="00D13872"/>
    <w:rsid w:val="00D1712B"/>
    <w:rsid w:val="00D64924"/>
    <w:rsid w:val="00DB3F7E"/>
    <w:rsid w:val="00DB65DB"/>
    <w:rsid w:val="00DC3D53"/>
    <w:rsid w:val="00E104A4"/>
    <w:rsid w:val="00EA2FD9"/>
    <w:rsid w:val="00EB1644"/>
    <w:rsid w:val="00ED06A4"/>
    <w:rsid w:val="00ED7186"/>
    <w:rsid w:val="00F0476D"/>
    <w:rsid w:val="00F53937"/>
    <w:rsid w:val="00F613A9"/>
    <w:rsid w:val="00F703A9"/>
    <w:rsid w:val="00FB06BB"/>
    <w:rsid w:val="00FB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F1B8E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5-2026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2026-05-29T16:19:00Z</dcterms:created>
  <dcterms:modified xsi:type="dcterms:W3CDTF">2026-05-29T16:20:00Z</dcterms:modified>
</cp:coreProperties>
</file>