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4960EA" w14:textId="77777777" w:rsidR="00D701F7" w:rsidRPr="00D701F7" w:rsidRDefault="00D701F7" w:rsidP="00D701F7">
      <w:pPr>
        <w:spacing w:after="0" w:line="240" w:lineRule="auto"/>
        <w:jc w:val="both"/>
        <w:rPr>
          <w:rFonts w:ascii="Arial" w:hAnsi="Arial" w:cs="Arial"/>
          <w:bCs/>
        </w:rPr>
      </w:pPr>
      <w:bookmarkStart w:id="0" w:name="_GoBack"/>
      <w:bookmarkEnd w:id="0"/>
    </w:p>
    <w:p w14:paraId="0017B186" w14:textId="77777777" w:rsidR="00D701F7" w:rsidRPr="00D701F7" w:rsidRDefault="00D701F7" w:rsidP="00D701F7">
      <w:pPr>
        <w:spacing w:after="0" w:line="240" w:lineRule="auto"/>
        <w:jc w:val="center"/>
        <w:rPr>
          <w:rFonts w:ascii="Arial" w:hAnsi="Arial" w:cs="Arial"/>
          <w:b/>
          <w:bCs/>
        </w:rPr>
      </w:pPr>
      <w:r w:rsidRPr="00D701F7">
        <w:rPr>
          <w:rFonts w:ascii="Arial" w:hAnsi="Arial" w:cs="Arial"/>
          <w:b/>
          <w:bCs/>
        </w:rPr>
        <w:t>Berechnung einer tariflichen Überlastquote</w:t>
      </w:r>
    </w:p>
    <w:p w14:paraId="28022438" w14:textId="65407CC8" w:rsidR="00D701F7" w:rsidRPr="00D701F7" w:rsidRDefault="00D701F7" w:rsidP="00D701F7">
      <w:pPr>
        <w:spacing w:after="0" w:line="240" w:lineRule="auto"/>
        <w:jc w:val="both"/>
        <w:rPr>
          <w:rFonts w:ascii="Arial" w:hAnsi="Arial" w:cs="Arial"/>
          <w:bCs/>
        </w:rPr>
      </w:pPr>
    </w:p>
    <w:p w14:paraId="798AE04E" w14:textId="77777777" w:rsidR="00D701F7" w:rsidRPr="00D701F7" w:rsidRDefault="00D701F7" w:rsidP="00D701F7">
      <w:pPr>
        <w:spacing w:after="0" w:line="240" w:lineRule="auto"/>
        <w:jc w:val="both"/>
        <w:rPr>
          <w:rFonts w:ascii="Arial" w:eastAsia="Calibri" w:hAnsi="Arial" w:cs="Arial"/>
          <w:bCs/>
        </w:rPr>
      </w:pPr>
      <w:r w:rsidRPr="00D701F7">
        <w:rPr>
          <w:rFonts w:ascii="Arial" w:eastAsia="Calibri" w:hAnsi="Arial" w:cs="Arial"/>
          <w:bCs/>
        </w:rPr>
        <w:t>ein Artikel von Rechtsanwalt und Fachanwalt für Arbeitsrecht Klaus-Dieter Franzen, Bremen</w:t>
      </w:r>
    </w:p>
    <w:p w14:paraId="76000348" w14:textId="77777777" w:rsidR="00D701F7" w:rsidRPr="00D701F7" w:rsidRDefault="00D701F7" w:rsidP="00D701F7">
      <w:pPr>
        <w:spacing w:after="0" w:line="240" w:lineRule="auto"/>
        <w:jc w:val="both"/>
        <w:rPr>
          <w:rFonts w:ascii="Arial" w:hAnsi="Arial" w:cs="Arial"/>
          <w:bCs/>
        </w:rPr>
      </w:pPr>
    </w:p>
    <w:p w14:paraId="75343735" w14:textId="4B0C6113" w:rsidR="00D701F7" w:rsidRPr="00D701F7" w:rsidRDefault="00D701F7" w:rsidP="00D701F7">
      <w:pPr>
        <w:spacing w:after="0" w:line="240" w:lineRule="auto"/>
        <w:jc w:val="both"/>
        <w:rPr>
          <w:rFonts w:ascii="Arial" w:hAnsi="Arial" w:cs="Arial"/>
          <w:b/>
          <w:bCs/>
        </w:rPr>
      </w:pPr>
      <w:r w:rsidRPr="00D701F7">
        <w:rPr>
          <w:rFonts w:ascii="Arial" w:hAnsi="Arial" w:cs="Arial"/>
          <w:b/>
          <w:bCs/>
        </w:rPr>
        <w:t>Die Auslegung eines Altersteilzeit-Tarifvertrags kann ergeben, dass Arbeitnehmer außerhalb des tariflichen Geltungsbereichs bei der Berechnung, ob eine sog. Überlastquote erfüllt ist, zu berücksichtigen sind.</w:t>
      </w:r>
    </w:p>
    <w:p w14:paraId="6F36E2F0" w14:textId="77777777" w:rsidR="00D701F7" w:rsidRPr="00D701F7" w:rsidRDefault="00D701F7" w:rsidP="00D701F7">
      <w:pPr>
        <w:spacing w:after="0" w:line="240" w:lineRule="auto"/>
        <w:jc w:val="both"/>
        <w:rPr>
          <w:rFonts w:ascii="Arial" w:hAnsi="Arial" w:cs="Arial"/>
          <w:bCs/>
        </w:rPr>
      </w:pPr>
    </w:p>
    <w:p w14:paraId="34EEE5B6" w14:textId="77777777" w:rsidR="00D701F7" w:rsidRPr="00D701F7" w:rsidRDefault="00D701F7" w:rsidP="00D701F7">
      <w:pPr>
        <w:spacing w:after="0" w:line="240" w:lineRule="auto"/>
        <w:jc w:val="both"/>
        <w:rPr>
          <w:rFonts w:ascii="Arial" w:hAnsi="Arial" w:cs="Arial"/>
        </w:rPr>
      </w:pPr>
      <w:r w:rsidRPr="00D701F7">
        <w:rPr>
          <w:rFonts w:ascii="Arial" w:hAnsi="Arial" w:cs="Arial"/>
        </w:rPr>
        <w:t xml:space="preserve">Darauf verweist der Bremer Fachanwalt für Arbeitsrecht Klaus-Dieter Franzen Landesregionalleiter Bremen beim VDAA – Verband deutscher </w:t>
      </w:r>
      <w:proofErr w:type="spellStart"/>
      <w:r w:rsidRPr="00D701F7">
        <w:rPr>
          <w:rFonts w:ascii="Arial" w:hAnsi="Arial" w:cs="Arial"/>
        </w:rPr>
        <w:t>ArbeitsrechtsAnwälte</w:t>
      </w:r>
      <w:proofErr w:type="spellEnd"/>
      <w:r w:rsidRPr="00D701F7">
        <w:rPr>
          <w:rFonts w:ascii="Arial" w:hAnsi="Arial" w:cs="Arial"/>
        </w:rPr>
        <w:t xml:space="preserve"> e. V. mit Sitz in Stuttgart unter Hinweis auf das Urteil des Bundesarbeitsgerichts (BAG) vom 25. August 2026 –</w:t>
      </w:r>
    </w:p>
    <w:p w14:paraId="27AD069A" w14:textId="109B67EF" w:rsidR="00D701F7" w:rsidRPr="00D701F7" w:rsidRDefault="00D701F7" w:rsidP="00D701F7">
      <w:pPr>
        <w:spacing w:after="0" w:line="240" w:lineRule="auto"/>
        <w:jc w:val="both"/>
        <w:rPr>
          <w:rFonts w:ascii="Arial" w:hAnsi="Arial" w:cs="Arial"/>
        </w:rPr>
      </w:pPr>
      <w:r w:rsidRPr="00D701F7">
        <w:rPr>
          <w:rFonts w:ascii="Arial" w:hAnsi="Arial" w:cs="Arial"/>
        </w:rPr>
        <w:t>9 AZR 162/25.</w:t>
      </w:r>
    </w:p>
    <w:p w14:paraId="33E30DB3" w14:textId="77777777" w:rsidR="00D701F7" w:rsidRPr="00D701F7" w:rsidRDefault="00D701F7" w:rsidP="00D701F7">
      <w:pPr>
        <w:spacing w:after="0" w:line="240" w:lineRule="auto"/>
        <w:jc w:val="both"/>
        <w:rPr>
          <w:rFonts w:ascii="Arial" w:hAnsi="Arial" w:cs="Arial"/>
        </w:rPr>
      </w:pPr>
    </w:p>
    <w:p w14:paraId="28915802" w14:textId="05172983" w:rsidR="00D701F7" w:rsidRPr="00D701F7" w:rsidRDefault="00D701F7" w:rsidP="00D701F7">
      <w:pPr>
        <w:spacing w:after="0" w:line="240" w:lineRule="auto"/>
        <w:jc w:val="both"/>
        <w:rPr>
          <w:rFonts w:ascii="Arial" w:hAnsi="Arial" w:cs="Arial"/>
        </w:rPr>
      </w:pPr>
      <w:r w:rsidRPr="00D701F7">
        <w:rPr>
          <w:rFonts w:ascii="Arial" w:hAnsi="Arial" w:cs="Arial"/>
        </w:rPr>
        <w:t>Die Parteien streiten über den Abschluss eines Altersteilzeitvertrags. Der Kläger ist seit April 1995 bei der Beklagten, einem Unternehmen der Lebensmittelindustrie, beschäftigt. Er ist Mitglied der Gewerkschaft Nahrung-Genuss-Gaststätten (NGG). Die Beklagte schloss mit der NGG unter dem 15. März 2021 einen „Altersteilzeit-Haustarifvertrag“ (ATZ-HTV). Dessen § 2 sieht unter bestimmten Voraussetzungen einen Anspruch auf Abschluss eines Altersteilzeitvertrags für Mitglieder der NGG vor. Nach der in § 3 Ziff. 1 ATZ-HTV geregelten Überlastquote ist der Anspruch ausgeschlossen, wenn und solange 2,5 % oder mehr Arbeitnehmer des Betriebs, dem der Anspruch stellende Arbeitnehmer angehört, von einer Altersteilzeitregelung Gebrauch machen.</w:t>
      </w:r>
    </w:p>
    <w:p w14:paraId="6AE9FF3E" w14:textId="77777777" w:rsidR="00D701F7" w:rsidRPr="00D701F7" w:rsidRDefault="00D701F7" w:rsidP="00D701F7">
      <w:pPr>
        <w:spacing w:after="0" w:line="240" w:lineRule="auto"/>
        <w:jc w:val="both"/>
        <w:rPr>
          <w:rFonts w:ascii="Arial" w:hAnsi="Arial" w:cs="Arial"/>
        </w:rPr>
      </w:pPr>
    </w:p>
    <w:p w14:paraId="2DF1E868" w14:textId="1ED1F064" w:rsidR="00D701F7" w:rsidRPr="00D701F7" w:rsidRDefault="00D701F7" w:rsidP="00D701F7">
      <w:pPr>
        <w:spacing w:after="0" w:line="240" w:lineRule="auto"/>
        <w:jc w:val="both"/>
        <w:rPr>
          <w:rFonts w:ascii="Arial" w:hAnsi="Arial" w:cs="Arial"/>
        </w:rPr>
      </w:pPr>
      <w:r w:rsidRPr="00D701F7">
        <w:rPr>
          <w:rFonts w:ascii="Arial" w:hAnsi="Arial" w:cs="Arial"/>
        </w:rPr>
        <w:t>Der Kläger fällt unter den tariflichen Geltungsbereich und erfüllt die Anspruchsvoraussetzungen des § 2 ATZ-HTV. Mit Schreiben vom 1. März 2023 beantragte er den Abschluss eines Altersteilzeitvertrags ab dem 1. September 2023 bis zum 31. August 2029. Die Beklagte lehnte dies ab, weil die Überlastquote erfüllt sei.</w:t>
      </w:r>
    </w:p>
    <w:p w14:paraId="346DB36D" w14:textId="77777777" w:rsidR="00D701F7" w:rsidRPr="00D701F7" w:rsidRDefault="00D701F7" w:rsidP="00D701F7">
      <w:pPr>
        <w:spacing w:after="0" w:line="240" w:lineRule="auto"/>
        <w:jc w:val="both"/>
        <w:rPr>
          <w:rFonts w:ascii="Arial" w:hAnsi="Arial" w:cs="Arial"/>
        </w:rPr>
      </w:pPr>
    </w:p>
    <w:p w14:paraId="6F8927AC" w14:textId="3860E9C7" w:rsidR="00D701F7" w:rsidRPr="00D701F7" w:rsidRDefault="00D701F7" w:rsidP="00D701F7">
      <w:pPr>
        <w:spacing w:after="0" w:line="240" w:lineRule="auto"/>
        <w:jc w:val="both"/>
        <w:rPr>
          <w:rFonts w:ascii="Arial" w:hAnsi="Arial" w:cs="Arial"/>
        </w:rPr>
      </w:pPr>
      <w:r w:rsidRPr="00D701F7">
        <w:rPr>
          <w:rFonts w:ascii="Arial" w:hAnsi="Arial" w:cs="Arial"/>
        </w:rPr>
        <w:t>Der Kläger nimmt demgegenüber mit seiner auf Abschluss des Altersteilzeitvertrags gerichteten Klage den Standpunkt ein, die Überlastquote nach § 3 Ziff. 1 ATZ-HTV sei nicht erreicht, weil in deren Berechnung ausschließlich Gewerkschaftsmitglieder einzubeziehen seien, nicht aber Arbeitnehmer außerhalb des persönlichen Geltungsbereichs des Tarifvertrags, mit denen die Beklagte Altersteilzeitverträge geschlossen habe.</w:t>
      </w:r>
    </w:p>
    <w:p w14:paraId="7BC3F1D5" w14:textId="77777777" w:rsidR="00D701F7" w:rsidRPr="00D701F7" w:rsidRDefault="00D701F7" w:rsidP="00D701F7">
      <w:pPr>
        <w:spacing w:after="0" w:line="240" w:lineRule="auto"/>
        <w:jc w:val="both"/>
        <w:rPr>
          <w:rFonts w:ascii="Arial" w:hAnsi="Arial" w:cs="Arial"/>
        </w:rPr>
      </w:pPr>
    </w:p>
    <w:p w14:paraId="27217E6D" w14:textId="77777777" w:rsidR="00D701F7" w:rsidRPr="00D701F7" w:rsidRDefault="00D701F7" w:rsidP="00D701F7">
      <w:pPr>
        <w:spacing w:after="0" w:line="240" w:lineRule="auto"/>
        <w:jc w:val="both"/>
        <w:rPr>
          <w:rFonts w:ascii="Arial" w:hAnsi="Arial" w:cs="Arial"/>
        </w:rPr>
      </w:pPr>
      <w:r w:rsidRPr="00D701F7">
        <w:rPr>
          <w:rFonts w:ascii="Arial" w:hAnsi="Arial" w:cs="Arial"/>
        </w:rPr>
        <w:t>Das Arbeitsgericht hat der Klage stattgegeben und die Beklagte verurteilt, mit dem Kläger einen Altersteilzeitvertrag abzuschließen. Das Landesarbeitsgericht hat das Urteil des Arbeitsgerichts abgeändert und die Klage abgewiesen.</w:t>
      </w:r>
    </w:p>
    <w:p w14:paraId="4AFBF3CA" w14:textId="77777777" w:rsidR="00D701F7" w:rsidRPr="00D701F7" w:rsidRDefault="00D701F7" w:rsidP="00D701F7">
      <w:pPr>
        <w:spacing w:after="0" w:line="240" w:lineRule="auto"/>
        <w:jc w:val="both"/>
        <w:rPr>
          <w:rFonts w:ascii="Arial" w:hAnsi="Arial" w:cs="Arial"/>
        </w:rPr>
      </w:pPr>
    </w:p>
    <w:p w14:paraId="3EC45E34" w14:textId="77777777" w:rsidR="00D701F7" w:rsidRPr="00D701F7" w:rsidRDefault="00D701F7" w:rsidP="00D701F7">
      <w:pPr>
        <w:spacing w:after="0" w:line="240" w:lineRule="auto"/>
        <w:jc w:val="both"/>
        <w:rPr>
          <w:rFonts w:ascii="Arial" w:hAnsi="Arial" w:cs="Arial"/>
        </w:rPr>
      </w:pPr>
      <w:r w:rsidRPr="00D701F7">
        <w:rPr>
          <w:rFonts w:ascii="Arial" w:hAnsi="Arial" w:cs="Arial"/>
        </w:rPr>
        <w:t xml:space="preserve">Die Revision des Klägers hatte vor dem Neunten Senat des Bundesarbeitsgerichts keinen Erfolg. </w:t>
      </w:r>
    </w:p>
    <w:p w14:paraId="0E5ED838" w14:textId="77777777" w:rsidR="00D701F7" w:rsidRPr="00D701F7" w:rsidRDefault="00D701F7" w:rsidP="00D701F7">
      <w:pPr>
        <w:spacing w:after="0" w:line="240" w:lineRule="auto"/>
        <w:jc w:val="both"/>
        <w:rPr>
          <w:rFonts w:ascii="Arial" w:hAnsi="Arial" w:cs="Arial"/>
        </w:rPr>
      </w:pPr>
    </w:p>
    <w:p w14:paraId="6799A253" w14:textId="3491672A" w:rsidR="00D701F7" w:rsidRPr="00D701F7" w:rsidRDefault="00D701F7" w:rsidP="00D701F7">
      <w:pPr>
        <w:spacing w:after="0" w:line="240" w:lineRule="auto"/>
        <w:jc w:val="both"/>
        <w:rPr>
          <w:rFonts w:ascii="Arial" w:hAnsi="Arial" w:cs="Arial"/>
        </w:rPr>
      </w:pPr>
      <w:r w:rsidRPr="00D701F7">
        <w:rPr>
          <w:rFonts w:ascii="Arial" w:hAnsi="Arial" w:cs="Arial"/>
        </w:rPr>
        <w:t>Der Kläger hat keinen Anspruch auf Abschluss des begehrten Altersteilzeitvertrags gemäß § 2 ATZ-HTV. Dem steht entgegen, dass die Überlastquote erfüllt ist (§ 3 Ziff. 1 ATZ-HTV). Bei der Berechnung der Quote sind auch Arbeitnehmer außerhalb des persönlichen Geltungsbereichs des Tarifvertrags, die von Altersteilzeit Gebrauch gemacht haben, einzubeziehen. Dasselbe gilt für Arbeitnehmer mit Altersteilzeitverträgen, die nicht nach dem ATZ-HTV geschlossen wurden. Dies folgt aus einer Auslegung von § 3 Ziff. 1 und Ziff. 2 ATZ-HTV.</w:t>
      </w:r>
    </w:p>
    <w:p w14:paraId="7B618A64" w14:textId="77777777" w:rsidR="00445100" w:rsidRPr="00D701F7" w:rsidRDefault="00445100" w:rsidP="00D701F7">
      <w:pPr>
        <w:spacing w:after="0" w:line="240" w:lineRule="auto"/>
        <w:jc w:val="both"/>
        <w:rPr>
          <w:rFonts w:ascii="Arial" w:eastAsia="Calibri" w:hAnsi="Arial" w:cs="Arial"/>
          <w:color w:val="000000"/>
        </w:rPr>
      </w:pPr>
    </w:p>
    <w:p w14:paraId="737EA0E9" w14:textId="77777777" w:rsidR="00445100" w:rsidRPr="00D701F7" w:rsidRDefault="00445100" w:rsidP="00D701F7">
      <w:pPr>
        <w:spacing w:after="0" w:line="240" w:lineRule="auto"/>
        <w:jc w:val="both"/>
        <w:rPr>
          <w:rFonts w:ascii="Arial" w:eastAsia="Calibri" w:hAnsi="Arial" w:cs="Arial"/>
          <w:color w:val="000000"/>
        </w:rPr>
      </w:pPr>
    </w:p>
    <w:p w14:paraId="3806D3D1" w14:textId="68071A08" w:rsidR="00445100" w:rsidRPr="00D701F7" w:rsidRDefault="00445100" w:rsidP="00D701F7">
      <w:pPr>
        <w:spacing w:after="0" w:line="240" w:lineRule="auto"/>
        <w:jc w:val="both"/>
        <w:rPr>
          <w:rFonts w:ascii="Arial" w:eastAsia="Calibri" w:hAnsi="Arial" w:cs="Arial"/>
          <w:color w:val="000000"/>
          <w:sz w:val="20"/>
          <w:szCs w:val="20"/>
        </w:rPr>
      </w:pPr>
      <w:r w:rsidRPr="00D701F7">
        <w:rPr>
          <w:rFonts w:ascii="Arial" w:eastAsia="Calibri" w:hAnsi="Arial" w:cs="Arial"/>
          <w:color w:val="000000"/>
          <w:sz w:val="20"/>
          <w:szCs w:val="20"/>
        </w:rPr>
        <w:lastRenderedPageBreak/>
        <w:t>Der Autor ist Mitglied des VDAA Verband deutscher Arbeitsrechtsanwälte e. V.</w:t>
      </w:r>
    </w:p>
    <w:p w14:paraId="4ACCFC94" w14:textId="77777777" w:rsidR="00203EDC" w:rsidRPr="00970E65" w:rsidRDefault="00203EDC" w:rsidP="00D701F7">
      <w:pPr>
        <w:spacing w:after="0" w:line="240" w:lineRule="auto"/>
        <w:jc w:val="both"/>
        <w:rPr>
          <w:rFonts w:ascii="Arial" w:hAnsi="Arial" w:cs="Arial"/>
          <w:sz w:val="20"/>
          <w:szCs w:val="20"/>
        </w:rPr>
      </w:pPr>
    </w:p>
    <w:p w14:paraId="5F039F5B" w14:textId="77777777" w:rsidR="00203EDC" w:rsidRPr="00D701F7" w:rsidRDefault="00203EDC" w:rsidP="00D701F7">
      <w:pPr>
        <w:autoSpaceDE w:val="0"/>
        <w:autoSpaceDN w:val="0"/>
        <w:adjustRightInd w:val="0"/>
        <w:spacing w:after="0" w:line="240" w:lineRule="auto"/>
        <w:jc w:val="both"/>
        <w:rPr>
          <w:rFonts w:ascii="Arial" w:eastAsia="Calibri" w:hAnsi="Arial" w:cs="Arial"/>
          <w:color w:val="000000"/>
          <w:sz w:val="20"/>
          <w:szCs w:val="20"/>
        </w:rPr>
      </w:pPr>
      <w:r w:rsidRPr="00D701F7">
        <w:rPr>
          <w:rFonts w:ascii="Arial" w:eastAsia="Calibri" w:hAnsi="Arial" w:cs="Arial"/>
          <w:color w:val="000000"/>
          <w:sz w:val="20"/>
          <w:szCs w:val="20"/>
        </w:rPr>
        <w:t>Für Rückfragen steht Ihnen der Autor gerne zur Verfügung.</w:t>
      </w:r>
    </w:p>
    <w:p w14:paraId="316D8023" w14:textId="50D981B3" w:rsidR="00203EDC" w:rsidRPr="00970E65" w:rsidRDefault="00203EDC" w:rsidP="00D701F7">
      <w:pPr>
        <w:spacing w:after="0" w:line="240" w:lineRule="auto"/>
        <w:jc w:val="both"/>
        <w:rPr>
          <w:rFonts w:ascii="Arial" w:hAnsi="Arial" w:cs="Arial"/>
          <w:sz w:val="20"/>
          <w:szCs w:val="20"/>
        </w:rPr>
      </w:pPr>
    </w:p>
    <w:p w14:paraId="19893A9E" w14:textId="77777777" w:rsidR="00203EDC" w:rsidRPr="00D701F7" w:rsidRDefault="00203EDC" w:rsidP="00D701F7">
      <w:pPr>
        <w:spacing w:after="0" w:line="240" w:lineRule="auto"/>
        <w:jc w:val="both"/>
        <w:rPr>
          <w:rFonts w:ascii="Arial" w:hAnsi="Arial" w:cs="Arial"/>
          <w:sz w:val="20"/>
          <w:szCs w:val="20"/>
        </w:rPr>
      </w:pPr>
      <w:r w:rsidRPr="00D701F7">
        <w:rPr>
          <w:rFonts w:ascii="Arial" w:hAnsi="Arial" w:cs="Arial"/>
          <w:sz w:val="20"/>
          <w:szCs w:val="20"/>
        </w:rPr>
        <w:t>Klaus-Dieter Franzen</w:t>
      </w:r>
    </w:p>
    <w:p w14:paraId="409A7619" w14:textId="77777777" w:rsidR="00203EDC" w:rsidRPr="00D701F7" w:rsidRDefault="00203EDC" w:rsidP="00D701F7">
      <w:pPr>
        <w:spacing w:after="0" w:line="240" w:lineRule="auto"/>
        <w:jc w:val="both"/>
        <w:rPr>
          <w:rFonts w:ascii="Arial" w:hAnsi="Arial" w:cs="Arial"/>
          <w:sz w:val="20"/>
          <w:szCs w:val="20"/>
        </w:rPr>
      </w:pPr>
      <w:r w:rsidRPr="00D701F7">
        <w:rPr>
          <w:rFonts w:ascii="Arial" w:hAnsi="Arial" w:cs="Arial"/>
          <w:sz w:val="20"/>
          <w:szCs w:val="20"/>
        </w:rPr>
        <w:t>Rechtsanwalt</w:t>
      </w:r>
    </w:p>
    <w:p w14:paraId="00B1677D" w14:textId="77777777" w:rsidR="00203EDC" w:rsidRPr="00D701F7" w:rsidRDefault="00203EDC" w:rsidP="00D701F7">
      <w:pPr>
        <w:spacing w:after="0" w:line="240" w:lineRule="auto"/>
        <w:jc w:val="both"/>
        <w:rPr>
          <w:rFonts w:ascii="Arial" w:hAnsi="Arial" w:cs="Arial"/>
          <w:sz w:val="20"/>
          <w:szCs w:val="20"/>
        </w:rPr>
      </w:pPr>
      <w:r w:rsidRPr="00D701F7">
        <w:rPr>
          <w:rFonts w:ascii="Arial" w:hAnsi="Arial" w:cs="Arial"/>
          <w:sz w:val="20"/>
          <w:szCs w:val="20"/>
        </w:rPr>
        <w:t>Fachanwalt für Arbeitsrecht</w:t>
      </w:r>
    </w:p>
    <w:p w14:paraId="30DBE80C" w14:textId="77777777" w:rsidR="00203EDC" w:rsidRPr="00D701F7" w:rsidRDefault="00203EDC" w:rsidP="00D701F7">
      <w:pPr>
        <w:spacing w:after="0" w:line="240" w:lineRule="auto"/>
        <w:jc w:val="both"/>
        <w:rPr>
          <w:rFonts w:ascii="Arial" w:hAnsi="Arial" w:cs="Arial"/>
          <w:sz w:val="20"/>
          <w:szCs w:val="20"/>
        </w:rPr>
      </w:pPr>
      <w:r w:rsidRPr="00D701F7">
        <w:rPr>
          <w:rFonts w:ascii="Arial" w:hAnsi="Arial" w:cs="Arial"/>
          <w:sz w:val="20"/>
          <w:szCs w:val="20"/>
        </w:rPr>
        <w:t>Zertifizierter Datenschutzbeauftragter (DSB-TÜV)</w:t>
      </w:r>
    </w:p>
    <w:p w14:paraId="7F61F2B1" w14:textId="77777777" w:rsidR="00203EDC" w:rsidRPr="00D701F7" w:rsidRDefault="00203EDC" w:rsidP="00D701F7">
      <w:pPr>
        <w:spacing w:after="0" w:line="240" w:lineRule="auto"/>
        <w:jc w:val="both"/>
        <w:rPr>
          <w:rFonts w:ascii="Arial" w:hAnsi="Arial" w:cs="Arial"/>
          <w:sz w:val="20"/>
          <w:szCs w:val="20"/>
        </w:rPr>
      </w:pPr>
      <w:r w:rsidRPr="00D701F7">
        <w:rPr>
          <w:rFonts w:ascii="Arial" w:hAnsi="Arial" w:cs="Arial"/>
          <w:sz w:val="20"/>
          <w:szCs w:val="20"/>
        </w:rPr>
        <w:t>--- --- --- --- --- --- --- --- --- --- --- --- --- --- --- --- ---</w:t>
      </w:r>
    </w:p>
    <w:p w14:paraId="6BA86FF0" w14:textId="77777777" w:rsidR="00203EDC" w:rsidRPr="00D701F7" w:rsidRDefault="00203EDC" w:rsidP="00D701F7">
      <w:pPr>
        <w:spacing w:after="0" w:line="240" w:lineRule="auto"/>
        <w:jc w:val="both"/>
        <w:rPr>
          <w:rFonts w:ascii="Arial" w:hAnsi="Arial" w:cs="Arial"/>
          <w:sz w:val="20"/>
          <w:szCs w:val="20"/>
        </w:rPr>
      </w:pPr>
      <w:proofErr w:type="spellStart"/>
      <w:r w:rsidRPr="00D701F7">
        <w:rPr>
          <w:rFonts w:ascii="Arial" w:hAnsi="Arial" w:cs="Arial"/>
          <w:sz w:val="20"/>
          <w:szCs w:val="20"/>
        </w:rPr>
        <w:t>FranzenLegal</w:t>
      </w:r>
      <w:proofErr w:type="spellEnd"/>
    </w:p>
    <w:p w14:paraId="37DB478B" w14:textId="77777777" w:rsidR="00203EDC" w:rsidRPr="00D701F7" w:rsidRDefault="00203EDC" w:rsidP="00D701F7">
      <w:pPr>
        <w:spacing w:after="0" w:line="240" w:lineRule="auto"/>
        <w:jc w:val="both"/>
        <w:rPr>
          <w:rFonts w:ascii="Arial" w:hAnsi="Arial" w:cs="Arial"/>
          <w:sz w:val="20"/>
          <w:szCs w:val="20"/>
        </w:rPr>
      </w:pPr>
      <w:r w:rsidRPr="00D701F7">
        <w:rPr>
          <w:rFonts w:ascii="Arial" w:hAnsi="Arial" w:cs="Arial"/>
          <w:sz w:val="20"/>
          <w:szCs w:val="20"/>
        </w:rPr>
        <w:t>Altenwall 6</w:t>
      </w:r>
    </w:p>
    <w:p w14:paraId="725474FD" w14:textId="77777777" w:rsidR="00203EDC" w:rsidRPr="00D701F7" w:rsidRDefault="00203EDC" w:rsidP="00D701F7">
      <w:pPr>
        <w:spacing w:after="0" w:line="240" w:lineRule="auto"/>
        <w:jc w:val="both"/>
        <w:rPr>
          <w:rFonts w:ascii="Arial" w:hAnsi="Arial" w:cs="Arial"/>
          <w:sz w:val="20"/>
          <w:szCs w:val="20"/>
        </w:rPr>
      </w:pPr>
      <w:r w:rsidRPr="00D701F7">
        <w:rPr>
          <w:rFonts w:ascii="Arial" w:hAnsi="Arial" w:cs="Arial"/>
          <w:sz w:val="20"/>
          <w:szCs w:val="20"/>
        </w:rPr>
        <w:t>D-28195 Bremen</w:t>
      </w:r>
    </w:p>
    <w:p w14:paraId="2D18F16B" w14:textId="77777777" w:rsidR="00203EDC" w:rsidRPr="00D701F7" w:rsidRDefault="00203EDC" w:rsidP="00D701F7">
      <w:pPr>
        <w:spacing w:after="0" w:line="240" w:lineRule="auto"/>
        <w:jc w:val="both"/>
        <w:rPr>
          <w:rFonts w:ascii="Arial" w:hAnsi="Arial" w:cs="Arial"/>
          <w:sz w:val="20"/>
          <w:szCs w:val="20"/>
        </w:rPr>
      </w:pPr>
      <w:r w:rsidRPr="00D701F7">
        <w:rPr>
          <w:rFonts w:ascii="Arial" w:hAnsi="Arial" w:cs="Arial"/>
          <w:sz w:val="20"/>
          <w:szCs w:val="20"/>
        </w:rPr>
        <w:t>Telefon: +49 (0) 421 33 78 413</w:t>
      </w:r>
    </w:p>
    <w:p w14:paraId="30F251BD" w14:textId="77777777" w:rsidR="00203EDC" w:rsidRPr="00D701F7" w:rsidRDefault="00203EDC" w:rsidP="00D701F7">
      <w:pPr>
        <w:spacing w:after="0" w:line="240" w:lineRule="auto"/>
        <w:jc w:val="both"/>
        <w:rPr>
          <w:rFonts w:ascii="Arial" w:hAnsi="Arial" w:cs="Arial"/>
          <w:sz w:val="20"/>
          <w:szCs w:val="20"/>
        </w:rPr>
      </w:pPr>
      <w:r w:rsidRPr="00D701F7">
        <w:rPr>
          <w:rFonts w:ascii="Arial" w:hAnsi="Arial" w:cs="Arial"/>
          <w:sz w:val="20"/>
          <w:szCs w:val="20"/>
        </w:rPr>
        <w:t>Telefax: +49 (0) 421 33 78 416</w:t>
      </w:r>
    </w:p>
    <w:p w14:paraId="5B369E85" w14:textId="77777777" w:rsidR="00203EDC" w:rsidRPr="00D701F7" w:rsidRDefault="00A30C69" w:rsidP="00D701F7">
      <w:pPr>
        <w:spacing w:after="0" w:line="240" w:lineRule="auto"/>
        <w:jc w:val="both"/>
        <w:rPr>
          <w:rFonts w:ascii="Arial" w:hAnsi="Arial" w:cs="Arial"/>
          <w:sz w:val="20"/>
          <w:szCs w:val="20"/>
        </w:rPr>
      </w:pPr>
      <w:hyperlink r:id="rId6" w:history="1">
        <w:r w:rsidR="00203EDC" w:rsidRPr="00D701F7">
          <w:rPr>
            <w:rStyle w:val="Hyperlink"/>
            <w:rFonts w:ascii="Arial" w:hAnsi="Arial" w:cs="Arial"/>
            <w:sz w:val="20"/>
            <w:szCs w:val="20"/>
          </w:rPr>
          <w:t>www.franzen-legal.de</w:t>
        </w:r>
      </w:hyperlink>
      <w:r w:rsidR="00203EDC" w:rsidRPr="00D701F7">
        <w:rPr>
          <w:rFonts w:ascii="Arial" w:hAnsi="Arial" w:cs="Arial"/>
          <w:sz w:val="20"/>
          <w:szCs w:val="20"/>
        </w:rPr>
        <w:t xml:space="preserve"> </w:t>
      </w:r>
    </w:p>
    <w:p w14:paraId="596C2C81" w14:textId="77777777" w:rsidR="00203EDC" w:rsidRPr="00D701F7" w:rsidRDefault="00203EDC" w:rsidP="00D701F7">
      <w:pPr>
        <w:spacing w:after="0" w:line="240" w:lineRule="auto"/>
        <w:jc w:val="both"/>
        <w:rPr>
          <w:rFonts w:ascii="Arial" w:hAnsi="Arial" w:cs="Arial"/>
          <w:sz w:val="20"/>
          <w:szCs w:val="20"/>
        </w:rPr>
      </w:pPr>
    </w:p>
    <w:sectPr w:rsidR="00203EDC" w:rsidRPr="00D701F7">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0174DA" w14:textId="77777777" w:rsidR="00A30C69" w:rsidRDefault="00A30C69" w:rsidP="005A26C4">
      <w:pPr>
        <w:spacing w:after="0" w:line="240" w:lineRule="auto"/>
      </w:pPr>
      <w:r>
        <w:separator/>
      </w:r>
    </w:p>
  </w:endnote>
  <w:endnote w:type="continuationSeparator" w:id="0">
    <w:p w14:paraId="2D0A4A66" w14:textId="77777777" w:rsidR="00A30C69" w:rsidRDefault="00A30C69"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14:paraId="38715260" w14:textId="77777777" w:rsidR="00BB442F" w:rsidRDefault="00BB442F">
        <w:pPr>
          <w:pStyle w:val="Fuzeile"/>
          <w:jc w:val="center"/>
        </w:pPr>
        <w:r>
          <w:rPr>
            <w:noProof/>
            <w:lang w:eastAsia="de-DE"/>
          </w:rPr>
          <mc:AlternateContent>
            <mc:Choice Requires="wps">
              <w:drawing>
                <wp:inline distT="0" distB="0" distL="0" distR="0" wp14:anchorId="16349D5A" wp14:editId="7B85350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shapetype w14:anchorId="757C2020"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" fillcolor="black" stroked="f">
                  <v:fill r:id="rId1" o:title="" type="pattern"/>
                  <w10:anchorlock/>
                </v:shape>
              </w:pict>
            </mc:Fallback>
          </mc:AlternateContent>
        </w:r>
      </w:p>
      <w:p w14:paraId="6E71FBC6" w14:textId="77777777" w:rsidR="00BB442F" w:rsidRDefault="00BB442F">
        <w:pPr>
          <w:pStyle w:val="Fuzeile"/>
          <w:jc w:val="center"/>
        </w:pPr>
        <w:r>
          <w:fldChar w:fldCharType="begin"/>
        </w:r>
        <w:r>
          <w:instrText>PAGE    \* MERGEFORMAT</w:instrText>
        </w:r>
        <w:r>
          <w:fldChar w:fldCharType="separate"/>
        </w:r>
        <w:r w:rsidR="00A81404">
          <w:rPr>
            <w:noProof/>
          </w:rPr>
          <w:t>1</w:t>
        </w:r>
        <w:r>
          <w:fldChar w:fldCharType="end"/>
        </w:r>
      </w:p>
    </w:sdtContent>
  </w:sdt>
  <w:p w14:paraId="25D4BF09" w14:textId="77777777"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A469A0" w14:textId="77777777" w:rsidR="00A30C69" w:rsidRDefault="00A30C69" w:rsidP="005A26C4">
      <w:pPr>
        <w:spacing w:after="0" w:line="240" w:lineRule="auto"/>
      </w:pPr>
      <w:r>
        <w:separator/>
      </w:r>
    </w:p>
  </w:footnote>
  <w:footnote w:type="continuationSeparator" w:id="0">
    <w:p w14:paraId="64F8FEFD" w14:textId="77777777" w:rsidR="00A30C69" w:rsidRDefault="00A30C69"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231CD" w14:textId="6D5307E5"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FA3FF5">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D701F7">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675C8C">
      <w:rPr>
        <w:rFonts w:ascii="Arial" w:eastAsia="Calibri" w:hAnsi="Arial" w:cs="Arial"/>
        <w:b/>
        <w:bCs/>
        <w:sz w:val="28"/>
        <w:szCs w:val="28"/>
        <w:lang w:eastAsia="de-DE"/>
      </w:rPr>
      <w:t>6</w:t>
    </w:r>
  </w:p>
  <w:p w14:paraId="6B4D39B2" w14:textId="77777777" w:rsidR="00232ED3" w:rsidRDefault="005A26C4" w:rsidP="005A26C4">
    <w:pPr>
      <w:pStyle w:val="Kopfzeile"/>
      <w:jc w:val="right"/>
      <w:rPr>
        <w:rFonts w:ascii="Arial" w:hAnsi="Arial" w:cs="Arial"/>
        <w:sz w:val="32"/>
        <w:szCs w:val="32"/>
      </w:rPr>
    </w:pPr>
    <w:bookmarkStart w:id="1" w:name="_Hlk22231110"/>
    <w:r w:rsidRPr="00BA78DF">
      <w:rPr>
        <w:rFonts w:ascii="Arial" w:eastAsia="Calibri" w:hAnsi="Arial" w:cs="Times New Roman"/>
        <w:noProof/>
        <w:lang w:eastAsia="de-DE"/>
      </w:rPr>
      <w:drawing>
        <wp:inline distT="0" distB="0" distL="0" distR="0" wp14:anchorId="3EC49761" wp14:editId="16F027D4">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1"/>
  </w:p>
  <w:p w14:paraId="0CAB52A9" w14:textId="77777777" w:rsidR="002B4E59" w:rsidRPr="002B4E59" w:rsidRDefault="002B4E59" w:rsidP="005A26C4">
    <w:pPr>
      <w:pStyle w:val="Kopfzeile"/>
      <w:jc w:val="right"/>
      <w:rPr>
        <w:rFonts w:ascii="Arial" w:hAnsi="Arial" w:cs="Arial"/>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B0847"/>
    <w:rsid w:val="000C081E"/>
    <w:rsid w:val="000F264F"/>
    <w:rsid w:val="000F63D8"/>
    <w:rsid w:val="0011721F"/>
    <w:rsid w:val="001A2659"/>
    <w:rsid w:val="001B5E55"/>
    <w:rsid w:val="001C119B"/>
    <w:rsid w:val="001F47ED"/>
    <w:rsid w:val="00203EDC"/>
    <w:rsid w:val="00232ED3"/>
    <w:rsid w:val="00280686"/>
    <w:rsid w:val="00286249"/>
    <w:rsid w:val="00286EB0"/>
    <w:rsid w:val="002A1A1B"/>
    <w:rsid w:val="002B4E59"/>
    <w:rsid w:val="002F67F6"/>
    <w:rsid w:val="003558BF"/>
    <w:rsid w:val="00390ACD"/>
    <w:rsid w:val="00445100"/>
    <w:rsid w:val="0046579C"/>
    <w:rsid w:val="004A1169"/>
    <w:rsid w:val="004B78F9"/>
    <w:rsid w:val="004C4572"/>
    <w:rsid w:val="004E1D17"/>
    <w:rsid w:val="004E5691"/>
    <w:rsid w:val="005036BB"/>
    <w:rsid w:val="0050747C"/>
    <w:rsid w:val="00537596"/>
    <w:rsid w:val="00574F9D"/>
    <w:rsid w:val="005805F8"/>
    <w:rsid w:val="005869A8"/>
    <w:rsid w:val="005A26C4"/>
    <w:rsid w:val="005D5092"/>
    <w:rsid w:val="00632516"/>
    <w:rsid w:val="00645B26"/>
    <w:rsid w:val="00650B0C"/>
    <w:rsid w:val="00675C8C"/>
    <w:rsid w:val="006936B9"/>
    <w:rsid w:val="006B755A"/>
    <w:rsid w:val="006F372F"/>
    <w:rsid w:val="007810AC"/>
    <w:rsid w:val="007B4353"/>
    <w:rsid w:val="007E2B72"/>
    <w:rsid w:val="008406B2"/>
    <w:rsid w:val="00846A64"/>
    <w:rsid w:val="008A1DB8"/>
    <w:rsid w:val="008C0513"/>
    <w:rsid w:val="00936146"/>
    <w:rsid w:val="00970E65"/>
    <w:rsid w:val="00985B0C"/>
    <w:rsid w:val="00991CBA"/>
    <w:rsid w:val="0099463F"/>
    <w:rsid w:val="009A15EB"/>
    <w:rsid w:val="009E21A8"/>
    <w:rsid w:val="00A30C69"/>
    <w:rsid w:val="00A722BC"/>
    <w:rsid w:val="00A81404"/>
    <w:rsid w:val="00A82319"/>
    <w:rsid w:val="00A827D9"/>
    <w:rsid w:val="00B5447C"/>
    <w:rsid w:val="00B830A2"/>
    <w:rsid w:val="00B83CF8"/>
    <w:rsid w:val="00BB442F"/>
    <w:rsid w:val="00BB47C3"/>
    <w:rsid w:val="00BC512C"/>
    <w:rsid w:val="00C77E45"/>
    <w:rsid w:val="00C95762"/>
    <w:rsid w:val="00CC0141"/>
    <w:rsid w:val="00CE65B9"/>
    <w:rsid w:val="00D1355D"/>
    <w:rsid w:val="00D13872"/>
    <w:rsid w:val="00D1712B"/>
    <w:rsid w:val="00D64924"/>
    <w:rsid w:val="00D701F7"/>
    <w:rsid w:val="00DB65DB"/>
    <w:rsid w:val="00DC3D53"/>
    <w:rsid w:val="00EA2FD9"/>
    <w:rsid w:val="00EB1644"/>
    <w:rsid w:val="00ED06A4"/>
    <w:rsid w:val="00F613A9"/>
    <w:rsid w:val="00FA3FF5"/>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72C81"/>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ranzen-legal.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2979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2026-10-03T14:12:00Z</dcterms:created>
  <dcterms:modified xsi:type="dcterms:W3CDTF">2026-10-03T14:13:00Z</dcterms:modified>
</cp:coreProperties>
</file>