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B8270" w14:textId="13DF0E40" w:rsidR="008C0513" w:rsidRPr="00C6771D" w:rsidRDefault="008C0513" w:rsidP="00C6771D">
      <w:pPr>
        <w:spacing w:after="0" w:line="240" w:lineRule="auto"/>
        <w:jc w:val="both"/>
        <w:rPr>
          <w:rFonts w:ascii="Arial" w:hAnsi="Arial" w:cs="Arial"/>
          <w:bCs/>
        </w:rPr>
      </w:pPr>
      <w:bookmarkStart w:id="0" w:name="_GoBack"/>
      <w:bookmarkEnd w:id="0"/>
    </w:p>
    <w:p w14:paraId="66AB2D69" w14:textId="305277F5" w:rsidR="00C6771D" w:rsidRDefault="00C6771D" w:rsidP="00C6771D">
      <w:pPr>
        <w:pStyle w:val="StandardWeb"/>
        <w:spacing w:before="0" w:beforeAutospacing="0" w:after="0" w:afterAutospacing="0"/>
        <w:jc w:val="center"/>
        <w:rPr>
          <w:rStyle w:val="Fett"/>
          <w:rFonts w:ascii="Arial" w:hAnsi="Arial" w:cs="Arial"/>
          <w:sz w:val="22"/>
          <w:szCs w:val="22"/>
        </w:rPr>
      </w:pPr>
      <w:r w:rsidRPr="00C6771D">
        <w:rPr>
          <w:rStyle w:val="Fett"/>
          <w:rFonts w:ascii="Arial" w:hAnsi="Arial" w:cs="Arial"/>
          <w:sz w:val="22"/>
          <w:szCs w:val="22"/>
        </w:rPr>
        <w:t xml:space="preserve">Compliance-Berichte und Hinweisgeberschutz </w:t>
      </w:r>
      <w:r>
        <w:rPr>
          <w:rStyle w:val="Fett"/>
          <w:rFonts w:ascii="Arial" w:hAnsi="Arial" w:cs="Arial"/>
          <w:sz w:val="22"/>
          <w:szCs w:val="22"/>
        </w:rPr>
        <w:t>–</w:t>
      </w:r>
    </w:p>
    <w:p w14:paraId="7BBE0557" w14:textId="1FED1E2B" w:rsidR="00C6771D" w:rsidRPr="00C6771D" w:rsidRDefault="00C6771D" w:rsidP="00C6771D">
      <w:pPr>
        <w:pStyle w:val="StandardWeb"/>
        <w:spacing w:before="0" w:beforeAutospacing="0" w:after="0" w:afterAutospacing="0"/>
        <w:jc w:val="center"/>
        <w:rPr>
          <w:rStyle w:val="Fett"/>
          <w:rFonts w:ascii="Arial" w:hAnsi="Arial" w:cs="Arial"/>
          <w:sz w:val="22"/>
          <w:szCs w:val="22"/>
        </w:rPr>
      </w:pPr>
      <w:r w:rsidRPr="00C6771D">
        <w:rPr>
          <w:rStyle w:val="Fett"/>
          <w:rFonts w:ascii="Arial" w:hAnsi="Arial" w:cs="Arial"/>
          <w:sz w:val="22"/>
          <w:szCs w:val="22"/>
        </w:rPr>
        <w:t>BAG begrenzt Herausgabeanspruch</w:t>
      </w:r>
    </w:p>
    <w:p w14:paraId="6A601827" w14:textId="77777777" w:rsidR="00C6771D" w:rsidRPr="00C6771D" w:rsidRDefault="00C6771D" w:rsidP="00C6771D">
      <w:pPr>
        <w:spacing w:after="0" w:line="240" w:lineRule="auto"/>
        <w:jc w:val="both"/>
        <w:rPr>
          <w:rFonts w:ascii="Arial" w:eastAsia="Calibri" w:hAnsi="Arial" w:cs="Arial"/>
          <w:bCs/>
        </w:rPr>
      </w:pPr>
    </w:p>
    <w:p w14:paraId="5CF331C8" w14:textId="78C9A231" w:rsidR="00C6771D" w:rsidRPr="00C6771D" w:rsidRDefault="00C6771D" w:rsidP="00C6771D">
      <w:pPr>
        <w:spacing w:after="0" w:line="240" w:lineRule="auto"/>
        <w:jc w:val="both"/>
        <w:rPr>
          <w:rFonts w:ascii="Arial" w:eastAsia="Calibri" w:hAnsi="Arial" w:cs="Arial"/>
          <w:bCs/>
        </w:rPr>
      </w:pPr>
      <w:r w:rsidRPr="00C6771D">
        <w:rPr>
          <w:rFonts w:ascii="Arial" w:eastAsia="Calibri" w:hAnsi="Arial" w:cs="Arial"/>
          <w:bCs/>
        </w:rPr>
        <w:t>ein Artikel von Rechtsanwalt und Fachanwalt für Arbeitsrecht Klaus-Dieter Franzen, Bremen</w:t>
      </w:r>
    </w:p>
    <w:p w14:paraId="7D9BCC22"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43DFDF01" w14:textId="66D0BC1B" w:rsidR="00C6771D" w:rsidRDefault="00C6771D" w:rsidP="00C6771D">
      <w:pPr>
        <w:pStyle w:val="StandardWeb"/>
        <w:spacing w:before="0" w:beforeAutospacing="0" w:after="0" w:afterAutospacing="0"/>
        <w:jc w:val="both"/>
        <w:rPr>
          <w:rFonts w:ascii="Arial" w:hAnsi="Arial" w:cs="Arial"/>
          <w:b/>
          <w:bCs/>
          <w:sz w:val="22"/>
          <w:szCs w:val="22"/>
        </w:rPr>
      </w:pPr>
      <w:r w:rsidRPr="00C6771D">
        <w:rPr>
          <w:rFonts w:ascii="Arial" w:hAnsi="Arial" w:cs="Arial"/>
          <w:b/>
          <w:bCs/>
          <w:sz w:val="22"/>
          <w:szCs w:val="22"/>
        </w:rPr>
        <w:t xml:space="preserve">Das Bundesarbeitsgericht (BAG) hat entschieden, dass Beschäftigte nach Art. 15 DSGVO grundsätzlich keine Kopie eines vollständigen Compliance-Berichts verlangen können, nur weil </w:t>
      </w:r>
      <w:proofErr w:type="gramStart"/>
      <w:r w:rsidRPr="00C6771D">
        <w:rPr>
          <w:rFonts w:ascii="Arial" w:hAnsi="Arial" w:cs="Arial"/>
          <w:b/>
          <w:bCs/>
          <w:sz w:val="22"/>
          <w:szCs w:val="22"/>
        </w:rPr>
        <w:t>dieser personenbezogene Daten</w:t>
      </w:r>
      <w:proofErr w:type="gramEnd"/>
      <w:r w:rsidRPr="00C6771D">
        <w:rPr>
          <w:rFonts w:ascii="Arial" w:hAnsi="Arial" w:cs="Arial"/>
          <w:b/>
          <w:bCs/>
          <w:sz w:val="22"/>
          <w:szCs w:val="22"/>
        </w:rPr>
        <w:t xml:space="preserve"> über sie enthält. </w:t>
      </w:r>
    </w:p>
    <w:p w14:paraId="70CD4A4C"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7E7B01B3" w14:textId="44D0A4A0" w:rsidR="00C6771D" w:rsidRDefault="00C6771D" w:rsidP="00C6771D">
      <w:pPr>
        <w:pStyle w:val="StandardWeb"/>
        <w:spacing w:before="0" w:beforeAutospacing="0" w:after="0" w:afterAutospacing="0"/>
        <w:jc w:val="both"/>
        <w:rPr>
          <w:rFonts w:ascii="Arial" w:hAnsi="Arial" w:cs="Arial"/>
          <w:sz w:val="22"/>
          <w:szCs w:val="22"/>
        </w:rPr>
      </w:pPr>
      <w:r w:rsidRPr="00C6771D">
        <w:rPr>
          <w:rFonts w:ascii="Arial" w:hAnsi="Arial" w:cs="Arial"/>
          <w:sz w:val="22"/>
          <w:szCs w:val="22"/>
        </w:rPr>
        <w:t xml:space="preserve">Darauf verweist der Bremer Fachanwalt für Arbeitsrecht Klaus-Dieter Franzen Landesregionalleiter Bremen beim VDAA – Verband deutscher </w:t>
      </w:r>
      <w:proofErr w:type="spellStart"/>
      <w:r w:rsidRPr="00C6771D">
        <w:rPr>
          <w:rFonts w:ascii="Arial" w:hAnsi="Arial" w:cs="Arial"/>
          <w:sz w:val="22"/>
          <w:szCs w:val="22"/>
        </w:rPr>
        <w:t>ArbeitsrechtsAnwälte</w:t>
      </w:r>
      <w:proofErr w:type="spellEnd"/>
      <w:r w:rsidRPr="00C6771D">
        <w:rPr>
          <w:rFonts w:ascii="Arial" w:hAnsi="Arial" w:cs="Arial"/>
          <w:sz w:val="22"/>
          <w:szCs w:val="22"/>
        </w:rPr>
        <w:t xml:space="preserve"> e. V. mit Sitz in Stuttgart unter Hinweis auf das Urteil des Bundesarbeitsgerichts (BAG) vom 16.04.2026 – 8 AZR 169/25.</w:t>
      </w:r>
      <w:r w:rsidRPr="00C6771D">
        <w:rPr>
          <w:rFonts w:ascii="Arial" w:hAnsi="Arial" w:cs="Arial"/>
          <w:b/>
          <w:bCs/>
          <w:sz w:val="22"/>
          <w:szCs w:val="22"/>
        </w:rPr>
        <w:t xml:space="preserve"> </w:t>
      </w:r>
      <w:r w:rsidRPr="00C6771D">
        <w:rPr>
          <w:rFonts w:ascii="Arial" w:hAnsi="Arial" w:cs="Arial"/>
          <w:sz w:val="22"/>
          <w:szCs w:val="22"/>
        </w:rPr>
        <w:t>Für den Schutz von Hinweisgebern ist das Urteil deshalb von erheblicher praktischer Bedeutung.</w:t>
      </w:r>
    </w:p>
    <w:p w14:paraId="134877C7" w14:textId="77777777" w:rsidR="002365ED" w:rsidRPr="00C6771D" w:rsidRDefault="002365ED" w:rsidP="00C6771D">
      <w:pPr>
        <w:pStyle w:val="StandardWeb"/>
        <w:spacing w:before="0" w:beforeAutospacing="0" w:after="0" w:afterAutospacing="0"/>
        <w:jc w:val="both"/>
        <w:rPr>
          <w:rFonts w:ascii="Arial" w:hAnsi="Arial" w:cs="Arial"/>
          <w:sz w:val="22"/>
          <w:szCs w:val="22"/>
        </w:rPr>
      </w:pPr>
    </w:p>
    <w:p w14:paraId="4FFD3626" w14:textId="77777777" w:rsidR="00C6771D" w:rsidRPr="00C6771D" w:rsidRDefault="00C6771D" w:rsidP="00C6771D">
      <w:pPr>
        <w:pStyle w:val="StandardWeb"/>
        <w:spacing w:before="0" w:beforeAutospacing="0" w:after="0" w:afterAutospacing="0"/>
        <w:jc w:val="both"/>
        <w:rPr>
          <w:rFonts w:ascii="Arial" w:hAnsi="Arial" w:cs="Arial"/>
          <w:sz w:val="22"/>
          <w:szCs w:val="22"/>
        </w:rPr>
      </w:pPr>
      <w:r w:rsidRPr="00C6771D">
        <w:rPr>
          <w:rStyle w:val="Fett"/>
          <w:rFonts w:ascii="Arial" w:hAnsi="Arial" w:cs="Arial"/>
          <w:sz w:val="22"/>
          <w:szCs w:val="22"/>
        </w:rPr>
        <w:t>Was ist passiert?</w:t>
      </w:r>
    </w:p>
    <w:p w14:paraId="3E9824EA"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40132F0A" w14:textId="62E078CA" w:rsidR="00C6771D" w:rsidRDefault="00C6771D" w:rsidP="00C6771D">
      <w:pPr>
        <w:pStyle w:val="StandardWeb"/>
        <w:spacing w:before="0" w:beforeAutospacing="0" w:after="0" w:afterAutospacing="0"/>
        <w:jc w:val="both"/>
        <w:rPr>
          <w:rFonts w:ascii="Arial" w:hAnsi="Arial" w:cs="Arial"/>
          <w:sz w:val="22"/>
          <w:szCs w:val="22"/>
        </w:rPr>
      </w:pPr>
      <w:r w:rsidRPr="00C6771D">
        <w:rPr>
          <w:rFonts w:ascii="Arial" w:hAnsi="Arial" w:cs="Arial"/>
          <w:sz w:val="22"/>
          <w:szCs w:val="22"/>
        </w:rPr>
        <w:t>Drei Hinweisgeber hatten sich über das Führungsverhalten einer leitenden Beschäftigten beschwert. Das Unternehmen ließ daraufhin durch eine Rechtsanwaltskanzlei eine Compliance-Untersuchung durchführen. Im Abschlussbericht wurden die Hinweisgeber und weitere Zeugen namentlich genannt. Außerdem enthielt der Bericht Aussagen aus den geführten Gesprächen und Bewertungen ihrer Glaubhaftigkeit. Die betroffene Führungskraft verlangte später auf Grundlage von Art. 15 DSGVO eine Kopie des vollständigen Compliance-Berichts. Das Unternehmen lehnte dies ab. Es verwies unter anderem darauf, dass der Bericht schutzwürdige Daten der Hinweisgeber und Zeugen enthalte und ihnen Vertraulichkeit zugesagt worden sei.</w:t>
      </w:r>
    </w:p>
    <w:p w14:paraId="5886C216" w14:textId="77777777" w:rsidR="002365ED" w:rsidRPr="00C6771D" w:rsidRDefault="002365ED" w:rsidP="00C6771D">
      <w:pPr>
        <w:pStyle w:val="StandardWeb"/>
        <w:spacing w:before="0" w:beforeAutospacing="0" w:after="0" w:afterAutospacing="0"/>
        <w:jc w:val="both"/>
        <w:rPr>
          <w:rFonts w:ascii="Arial" w:hAnsi="Arial" w:cs="Arial"/>
          <w:sz w:val="22"/>
          <w:szCs w:val="22"/>
        </w:rPr>
      </w:pPr>
    </w:p>
    <w:p w14:paraId="3B00674D" w14:textId="77777777" w:rsidR="00C6771D" w:rsidRPr="00C6771D" w:rsidRDefault="00C6771D" w:rsidP="00C6771D">
      <w:pPr>
        <w:pStyle w:val="StandardWeb"/>
        <w:spacing w:before="0" w:beforeAutospacing="0" w:after="0" w:afterAutospacing="0"/>
        <w:jc w:val="both"/>
        <w:rPr>
          <w:rFonts w:ascii="Arial" w:hAnsi="Arial" w:cs="Arial"/>
          <w:sz w:val="22"/>
          <w:szCs w:val="22"/>
        </w:rPr>
      </w:pPr>
      <w:r w:rsidRPr="00C6771D">
        <w:rPr>
          <w:rStyle w:val="Fett"/>
          <w:rFonts w:ascii="Arial" w:hAnsi="Arial" w:cs="Arial"/>
          <w:sz w:val="22"/>
          <w:szCs w:val="22"/>
        </w:rPr>
        <w:t>Wie hat das Gericht entschieden?</w:t>
      </w:r>
    </w:p>
    <w:p w14:paraId="6E9882A3"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1987D88E" w14:textId="75620F39" w:rsidR="00C6771D" w:rsidRDefault="00C6771D" w:rsidP="00C6771D">
      <w:pPr>
        <w:pStyle w:val="StandardWeb"/>
        <w:spacing w:before="0" w:beforeAutospacing="0" w:after="0" w:afterAutospacing="0"/>
        <w:jc w:val="both"/>
        <w:rPr>
          <w:rFonts w:ascii="Arial" w:hAnsi="Arial" w:cs="Arial"/>
          <w:sz w:val="22"/>
          <w:szCs w:val="22"/>
        </w:rPr>
      </w:pPr>
      <w:r w:rsidRPr="00C6771D">
        <w:rPr>
          <w:rFonts w:ascii="Arial" w:hAnsi="Arial" w:cs="Arial"/>
          <w:sz w:val="22"/>
          <w:szCs w:val="22"/>
        </w:rPr>
        <w:t>Das BAG lehnte einen Anspruch auf Herausgabe des vollständigen Berichts ab. Art. 15 Abs. 1 in Verbindung mit Abs. 3 DSGVO vermittelt grundsätzlich einen Anspruch auf eine Kopie der personenbezogenen Daten, nicht aber automatisch auf eine Kopie des gesamten Dokuments, in dem diese Daten enthalten sind. Ein vollständiges Dokument kann nur verlangt werden, wenn dies erforderlich ist, damit die betroffene Person ihre Datenschutzrechte wirksam ausüben kann. Im konkreten Fall bestand diese Notwendigkeit nicht. Der Bericht enthielt neben personenbezogenen Angaben auch rechtliche Bewertungen und Mandantenhinweise. Die Führungskraft benötigte diese Bestandteile nach Auffassung des BAG nicht, um ihre Rechte aus der DSGVO wahrzunehmen.</w:t>
      </w:r>
    </w:p>
    <w:p w14:paraId="4DEEF2AB" w14:textId="77777777" w:rsidR="002365ED" w:rsidRPr="00C6771D" w:rsidRDefault="002365ED" w:rsidP="00C6771D">
      <w:pPr>
        <w:pStyle w:val="StandardWeb"/>
        <w:spacing w:before="0" w:beforeAutospacing="0" w:after="0" w:afterAutospacing="0"/>
        <w:jc w:val="both"/>
        <w:rPr>
          <w:rFonts w:ascii="Arial" w:hAnsi="Arial" w:cs="Arial"/>
          <w:sz w:val="22"/>
          <w:szCs w:val="22"/>
        </w:rPr>
      </w:pPr>
    </w:p>
    <w:p w14:paraId="0B8B826D" w14:textId="77777777" w:rsidR="00C6771D" w:rsidRPr="00C6771D" w:rsidRDefault="00C6771D" w:rsidP="00C6771D">
      <w:pPr>
        <w:pStyle w:val="StandardWeb"/>
        <w:spacing w:before="0" w:beforeAutospacing="0" w:after="0" w:afterAutospacing="0"/>
        <w:jc w:val="both"/>
        <w:rPr>
          <w:rFonts w:ascii="Arial" w:hAnsi="Arial" w:cs="Arial"/>
          <w:sz w:val="22"/>
          <w:szCs w:val="22"/>
        </w:rPr>
      </w:pPr>
      <w:r w:rsidRPr="00C6771D">
        <w:rPr>
          <w:rStyle w:val="Fett"/>
          <w:rFonts w:ascii="Arial" w:hAnsi="Arial" w:cs="Arial"/>
          <w:sz w:val="22"/>
          <w:szCs w:val="22"/>
        </w:rPr>
        <w:t>Was heißt das für die Praxis?</w:t>
      </w:r>
    </w:p>
    <w:p w14:paraId="6EC72635"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021743FA" w14:textId="49E0D66C" w:rsidR="00C6771D" w:rsidRDefault="00C6771D" w:rsidP="00C6771D">
      <w:pPr>
        <w:pStyle w:val="StandardWeb"/>
        <w:spacing w:before="0" w:beforeAutospacing="0" w:after="0" w:afterAutospacing="0"/>
        <w:jc w:val="both"/>
        <w:rPr>
          <w:rFonts w:ascii="Arial" w:hAnsi="Arial" w:cs="Arial"/>
          <w:sz w:val="22"/>
          <w:szCs w:val="22"/>
        </w:rPr>
      </w:pPr>
      <w:r w:rsidRPr="00C6771D">
        <w:rPr>
          <w:rFonts w:ascii="Arial" w:hAnsi="Arial" w:cs="Arial"/>
          <w:sz w:val="22"/>
          <w:szCs w:val="22"/>
        </w:rPr>
        <w:t xml:space="preserve">Für interne Hinweisgebersysteme ist die Entscheidung hilfreich. Sie verhindert, dass Art. 15 DSGVO ohne Weiteres zu einem Anspruch auf Herausgabe kompletter Untersuchungsberichte wird. Damit sinkt zugleich das Risiko, dass Namen, Aussagen oder andere Informationen über Hinweisgeber allein über einen umfassenden datenschutzrechtlichen </w:t>
      </w:r>
      <w:proofErr w:type="spellStart"/>
      <w:r w:rsidRPr="00C6771D">
        <w:rPr>
          <w:rFonts w:ascii="Arial" w:hAnsi="Arial" w:cs="Arial"/>
          <w:sz w:val="22"/>
          <w:szCs w:val="22"/>
        </w:rPr>
        <w:t>Kopieanspruch</w:t>
      </w:r>
      <w:proofErr w:type="spellEnd"/>
      <w:r w:rsidRPr="00C6771D">
        <w:rPr>
          <w:rFonts w:ascii="Arial" w:hAnsi="Arial" w:cs="Arial"/>
          <w:sz w:val="22"/>
          <w:szCs w:val="22"/>
        </w:rPr>
        <w:t xml:space="preserve"> offengelegt werden müssen. Das BAG hat allerdings nicht entschieden, dass die Identität der Hinweisgeber im konkreten Fall aufgrund des Hinweisgeberschutzgesetzes geheim zu halten war.</w:t>
      </w:r>
    </w:p>
    <w:p w14:paraId="518ED383"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51978006" w14:textId="0EA8346F" w:rsidR="00C6771D" w:rsidRDefault="00C6771D" w:rsidP="00C6771D">
      <w:pPr>
        <w:pStyle w:val="StandardWeb"/>
        <w:spacing w:before="0" w:beforeAutospacing="0" w:after="0" w:afterAutospacing="0"/>
        <w:jc w:val="both"/>
        <w:rPr>
          <w:rFonts w:ascii="Arial" w:hAnsi="Arial" w:cs="Arial"/>
          <w:sz w:val="22"/>
          <w:szCs w:val="22"/>
        </w:rPr>
      </w:pPr>
      <w:r w:rsidRPr="00C6771D">
        <w:rPr>
          <w:rFonts w:ascii="Arial" w:hAnsi="Arial" w:cs="Arial"/>
          <w:sz w:val="22"/>
          <w:szCs w:val="22"/>
        </w:rPr>
        <w:lastRenderedPageBreak/>
        <w:t xml:space="preserve">Diese Unterscheidung ist wichtig. § 8 </w:t>
      </w:r>
      <w:proofErr w:type="spellStart"/>
      <w:r w:rsidRPr="00C6771D">
        <w:rPr>
          <w:rFonts w:ascii="Arial" w:hAnsi="Arial" w:cs="Arial"/>
          <w:sz w:val="22"/>
          <w:szCs w:val="22"/>
        </w:rPr>
        <w:t>HinSchG</w:t>
      </w:r>
      <w:proofErr w:type="spellEnd"/>
      <w:r w:rsidRPr="00C6771D">
        <w:rPr>
          <w:rFonts w:ascii="Arial" w:hAnsi="Arial" w:cs="Arial"/>
          <w:sz w:val="22"/>
          <w:szCs w:val="22"/>
        </w:rPr>
        <w:t xml:space="preserve"> verpflichtet Meldestellen grundsätzlich zur Wahrung der Vertraulichkeit der Identität hinweisgebender Personen. Voraussetzung ist insbesondere, dass die Meldung einen vom </w:t>
      </w:r>
      <w:proofErr w:type="spellStart"/>
      <w:r w:rsidRPr="00C6771D">
        <w:rPr>
          <w:rFonts w:ascii="Arial" w:hAnsi="Arial" w:cs="Arial"/>
          <w:sz w:val="22"/>
          <w:szCs w:val="22"/>
        </w:rPr>
        <w:t>HinSchG</w:t>
      </w:r>
      <w:proofErr w:type="spellEnd"/>
      <w:r w:rsidRPr="00C6771D">
        <w:rPr>
          <w:rFonts w:ascii="Arial" w:hAnsi="Arial" w:cs="Arial"/>
          <w:sz w:val="22"/>
          <w:szCs w:val="22"/>
        </w:rPr>
        <w:t xml:space="preserve"> erfassten Verstoß betrifft oder die hinweisgebende Person hinreichenden Grund hatte, dies anzunehmen. Ausnahmen von der Vertraulichkeit regelt § 9 </w:t>
      </w:r>
      <w:proofErr w:type="spellStart"/>
      <w:r w:rsidRPr="00C6771D">
        <w:rPr>
          <w:rFonts w:ascii="Arial" w:hAnsi="Arial" w:cs="Arial"/>
          <w:sz w:val="22"/>
          <w:szCs w:val="22"/>
        </w:rPr>
        <w:t>HinSchG</w:t>
      </w:r>
      <w:proofErr w:type="spellEnd"/>
      <w:r w:rsidRPr="00C6771D">
        <w:rPr>
          <w:rFonts w:ascii="Arial" w:hAnsi="Arial" w:cs="Arial"/>
          <w:sz w:val="22"/>
          <w:szCs w:val="22"/>
        </w:rPr>
        <w:t>. Ob diese Voraussetzungen bei den drei im BAG-Verfahren genannten Hinweisgebern vorlagen, war nicht Gegenstand der Entscheidung.</w:t>
      </w:r>
    </w:p>
    <w:p w14:paraId="65F02C50"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3C17347C" w14:textId="77777777" w:rsidR="00C6771D" w:rsidRPr="00C6771D" w:rsidRDefault="00C6771D" w:rsidP="00C6771D">
      <w:pPr>
        <w:pStyle w:val="StandardWeb"/>
        <w:spacing w:before="0" w:beforeAutospacing="0" w:after="0" w:afterAutospacing="0"/>
        <w:jc w:val="both"/>
        <w:rPr>
          <w:rFonts w:ascii="Arial" w:hAnsi="Arial" w:cs="Arial"/>
          <w:sz w:val="22"/>
          <w:szCs w:val="22"/>
        </w:rPr>
      </w:pPr>
      <w:r w:rsidRPr="00C6771D">
        <w:rPr>
          <w:rStyle w:val="Fett"/>
          <w:rFonts w:ascii="Arial" w:hAnsi="Arial" w:cs="Arial"/>
          <w:sz w:val="22"/>
          <w:szCs w:val="22"/>
        </w:rPr>
        <w:t>Konkrete Tipps</w:t>
      </w:r>
    </w:p>
    <w:p w14:paraId="648F6F6D"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61453C68" w14:textId="1631EB61" w:rsidR="00C6771D" w:rsidRDefault="00C6771D" w:rsidP="00C6771D">
      <w:pPr>
        <w:pStyle w:val="StandardWeb"/>
        <w:spacing w:before="0" w:beforeAutospacing="0" w:after="0" w:afterAutospacing="0"/>
        <w:jc w:val="both"/>
        <w:rPr>
          <w:rFonts w:ascii="Arial" w:hAnsi="Arial" w:cs="Arial"/>
          <w:sz w:val="22"/>
          <w:szCs w:val="22"/>
        </w:rPr>
      </w:pPr>
      <w:r>
        <w:rPr>
          <w:rFonts w:ascii="Arial" w:hAnsi="Arial" w:cs="Arial"/>
          <w:sz w:val="22"/>
          <w:szCs w:val="22"/>
        </w:rPr>
        <w:t>-</w:t>
      </w:r>
      <w:r w:rsidRPr="00C6771D">
        <w:rPr>
          <w:rFonts w:ascii="Arial" w:hAnsi="Arial" w:cs="Arial"/>
          <w:sz w:val="22"/>
          <w:szCs w:val="22"/>
        </w:rPr>
        <w:t>Compliance-Berichte sollten personenbezogene Angaben und rechtliche Bewertungen möglichst klar voneinander trennen.</w:t>
      </w:r>
    </w:p>
    <w:p w14:paraId="141FA904"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382B46EF" w14:textId="61B0DA2A" w:rsidR="00C6771D" w:rsidRDefault="00C6771D" w:rsidP="00C6771D">
      <w:pPr>
        <w:pStyle w:val="StandardWeb"/>
        <w:spacing w:before="0" w:beforeAutospacing="0" w:after="0" w:afterAutospacing="0"/>
        <w:jc w:val="both"/>
        <w:rPr>
          <w:rFonts w:ascii="Arial" w:hAnsi="Arial" w:cs="Arial"/>
          <w:sz w:val="22"/>
          <w:szCs w:val="22"/>
        </w:rPr>
      </w:pPr>
      <w:r>
        <w:rPr>
          <w:rFonts w:ascii="Arial" w:hAnsi="Arial" w:cs="Arial"/>
          <w:sz w:val="22"/>
          <w:szCs w:val="22"/>
        </w:rPr>
        <w:t>-</w:t>
      </w:r>
      <w:r w:rsidRPr="00C6771D">
        <w:rPr>
          <w:rFonts w:ascii="Arial" w:hAnsi="Arial" w:cs="Arial"/>
          <w:sz w:val="22"/>
          <w:szCs w:val="22"/>
        </w:rPr>
        <w:t>Namen von Hinweisgebern sollten nur aufgenommen werden, wenn dies für die Untersuchung tatsächlich erforderlich ist.</w:t>
      </w:r>
    </w:p>
    <w:p w14:paraId="58AE6419"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6F4D20E7" w14:textId="366115CF" w:rsidR="00C6771D" w:rsidRDefault="00C6771D" w:rsidP="00C6771D">
      <w:pPr>
        <w:pStyle w:val="StandardWeb"/>
        <w:spacing w:before="0" w:beforeAutospacing="0" w:after="0" w:afterAutospacing="0"/>
        <w:jc w:val="both"/>
        <w:rPr>
          <w:rFonts w:ascii="Arial" w:hAnsi="Arial" w:cs="Arial"/>
          <w:sz w:val="22"/>
          <w:szCs w:val="22"/>
        </w:rPr>
      </w:pPr>
      <w:r>
        <w:rPr>
          <w:rFonts w:ascii="Arial" w:hAnsi="Arial" w:cs="Arial"/>
          <w:sz w:val="22"/>
          <w:szCs w:val="22"/>
        </w:rPr>
        <w:t>-</w:t>
      </w:r>
      <w:r w:rsidRPr="00C6771D">
        <w:rPr>
          <w:rFonts w:ascii="Arial" w:hAnsi="Arial" w:cs="Arial"/>
          <w:sz w:val="22"/>
          <w:szCs w:val="22"/>
        </w:rPr>
        <w:t>Zugriffsrechte auf Meldungen und Untersuchungsberichte sollten eng begrenzt und dokumentiert werden.</w:t>
      </w:r>
    </w:p>
    <w:p w14:paraId="6E970736"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7CF43533" w14:textId="458E8595" w:rsidR="00C6771D" w:rsidRDefault="00C6771D" w:rsidP="00C6771D">
      <w:pPr>
        <w:pStyle w:val="StandardWeb"/>
        <w:spacing w:before="0" w:beforeAutospacing="0" w:after="0" w:afterAutospacing="0"/>
        <w:jc w:val="both"/>
        <w:rPr>
          <w:rFonts w:ascii="Arial" w:hAnsi="Arial" w:cs="Arial"/>
          <w:sz w:val="22"/>
          <w:szCs w:val="22"/>
        </w:rPr>
      </w:pPr>
      <w:r>
        <w:rPr>
          <w:rFonts w:ascii="Arial" w:hAnsi="Arial" w:cs="Arial"/>
          <w:sz w:val="22"/>
          <w:szCs w:val="22"/>
        </w:rPr>
        <w:t>-</w:t>
      </w:r>
      <w:r w:rsidRPr="00C6771D">
        <w:rPr>
          <w:rFonts w:ascii="Arial" w:hAnsi="Arial" w:cs="Arial"/>
          <w:sz w:val="22"/>
          <w:szCs w:val="22"/>
        </w:rPr>
        <w:t>Bei Auskunftsanträgen nach Art. 15 DSGVO sollte nicht vorschnell der gesamte Untersuchungsbericht herausgegeben werden.</w:t>
      </w:r>
    </w:p>
    <w:p w14:paraId="07A787BD" w14:textId="77777777" w:rsidR="00C6771D" w:rsidRPr="00C6771D" w:rsidRDefault="00C6771D" w:rsidP="00C6771D">
      <w:pPr>
        <w:pStyle w:val="StandardWeb"/>
        <w:spacing w:before="0" w:beforeAutospacing="0" w:after="0" w:afterAutospacing="0"/>
        <w:jc w:val="both"/>
        <w:rPr>
          <w:rFonts w:ascii="Arial" w:hAnsi="Arial" w:cs="Arial"/>
          <w:sz w:val="22"/>
          <w:szCs w:val="22"/>
        </w:rPr>
      </w:pPr>
    </w:p>
    <w:p w14:paraId="3FA9EC53" w14:textId="7A4ABACC" w:rsidR="00C6771D" w:rsidRPr="00C6771D" w:rsidRDefault="00C6771D" w:rsidP="00C6771D">
      <w:pPr>
        <w:pStyle w:val="StandardWeb"/>
        <w:spacing w:before="0" w:beforeAutospacing="0" w:after="0" w:afterAutospacing="0"/>
        <w:jc w:val="both"/>
        <w:rPr>
          <w:rFonts w:ascii="Arial" w:hAnsi="Arial" w:cs="Arial"/>
          <w:sz w:val="22"/>
          <w:szCs w:val="22"/>
        </w:rPr>
      </w:pPr>
      <w:r>
        <w:rPr>
          <w:rFonts w:ascii="Arial" w:hAnsi="Arial" w:cs="Arial"/>
          <w:sz w:val="22"/>
          <w:szCs w:val="22"/>
        </w:rPr>
        <w:t>-</w:t>
      </w:r>
      <w:r w:rsidRPr="00C6771D">
        <w:rPr>
          <w:rFonts w:ascii="Arial" w:hAnsi="Arial" w:cs="Arial"/>
          <w:sz w:val="22"/>
          <w:szCs w:val="22"/>
        </w:rPr>
        <w:t xml:space="preserve">Zusätzlich ist bei jeder Weitergabe von Informationen zu prüfen, ob §§ 8 und 9 </w:t>
      </w:r>
      <w:proofErr w:type="spellStart"/>
      <w:r w:rsidRPr="00C6771D">
        <w:rPr>
          <w:rFonts w:ascii="Arial" w:hAnsi="Arial" w:cs="Arial"/>
          <w:sz w:val="22"/>
          <w:szCs w:val="22"/>
        </w:rPr>
        <w:t>HinSchG</w:t>
      </w:r>
      <w:proofErr w:type="spellEnd"/>
      <w:r w:rsidRPr="00C6771D">
        <w:rPr>
          <w:rFonts w:ascii="Arial" w:hAnsi="Arial" w:cs="Arial"/>
          <w:sz w:val="22"/>
          <w:szCs w:val="22"/>
        </w:rPr>
        <w:t xml:space="preserve"> einer Offenlegung entgegenstehen.</w:t>
      </w:r>
    </w:p>
    <w:p w14:paraId="7B618A64" w14:textId="77777777" w:rsidR="00445100" w:rsidRPr="00C6771D" w:rsidRDefault="00445100" w:rsidP="00C6771D">
      <w:pPr>
        <w:spacing w:after="0" w:line="240" w:lineRule="auto"/>
        <w:jc w:val="both"/>
        <w:rPr>
          <w:rFonts w:ascii="Arial" w:eastAsia="Calibri" w:hAnsi="Arial" w:cs="Arial"/>
          <w:color w:val="000000"/>
        </w:rPr>
      </w:pPr>
    </w:p>
    <w:p w14:paraId="737EA0E9" w14:textId="77777777" w:rsidR="00445100" w:rsidRPr="00C6771D" w:rsidRDefault="00445100" w:rsidP="00C6771D">
      <w:pPr>
        <w:spacing w:after="0" w:line="240" w:lineRule="auto"/>
        <w:jc w:val="both"/>
        <w:rPr>
          <w:rFonts w:ascii="Arial" w:eastAsia="Calibri" w:hAnsi="Arial" w:cs="Arial"/>
          <w:color w:val="000000"/>
        </w:rPr>
      </w:pPr>
    </w:p>
    <w:p w14:paraId="3806D3D1" w14:textId="68071A08" w:rsidR="00445100" w:rsidRPr="00C6771D" w:rsidRDefault="00445100" w:rsidP="00C6771D">
      <w:pPr>
        <w:spacing w:after="0" w:line="240" w:lineRule="auto"/>
        <w:jc w:val="both"/>
        <w:rPr>
          <w:rFonts w:ascii="Arial" w:eastAsia="Calibri" w:hAnsi="Arial" w:cs="Arial"/>
          <w:color w:val="000000"/>
          <w:sz w:val="20"/>
          <w:szCs w:val="20"/>
        </w:rPr>
      </w:pPr>
      <w:r w:rsidRPr="00C6771D">
        <w:rPr>
          <w:rFonts w:ascii="Arial" w:eastAsia="Calibri" w:hAnsi="Arial" w:cs="Arial"/>
          <w:color w:val="000000"/>
          <w:sz w:val="20"/>
          <w:szCs w:val="20"/>
        </w:rPr>
        <w:t>Der Autor ist Mitglied des VDAA Verband deutscher Arbeitsrechtsanwälte e. V.</w:t>
      </w:r>
    </w:p>
    <w:p w14:paraId="4ACCFC94" w14:textId="77777777" w:rsidR="00203EDC" w:rsidRPr="00C6771D" w:rsidRDefault="00203EDC" w:rsidP="00C6771D">
      <w:pPr>
        <w:spacing w:after="0" w:line="240" w:lineRule="auto"/>
        <w:jc w:val="both"/>
        <w:rPr>
          <w:rFonts w:ascii="Arial" w:hAnsi="Arial" w:cs="Arial"/>
        </w:rPr>
      </w:pPr>
    </w:p>
    <w:p w14:paraId="5F039F5B" w14:textId="77777777" w:rsidR="00203EDC" w:rsidRPr="00C6771D" w:rsidRDefault="00203EDC" w:rsidP="00C6771D">
      <w:pPr>
        <w:autoSpaceDE w:val="0"/>
        <w:autoSpaceDN w:val="0"/>
        <w:adjustRightInd w:val="0"/>
        <w:spacing w:after="0" w:line="240" w:lineRule="auto"/>
        <w:jc w:val="both"/>
        <w:rPr>
          <w:rFonts w:ascii="Arial" w:eastAsia="Calibri" w:hAnsi="Arial" w:cs="Arial"/>
          <w:color w:val="000000"/>
          <w:sz w:val="20"/>
          <w:szCs w:val="20"/>
        </w:rPr>
      </w:pPr>
      <w:r w:rsidRPr="00C6771D">
        <w:rPr>
          <w:rFonts w:ascii="Arial" w:eastAsia="Calibri" w:hAnsi="Arial" w:cs="Arial"/>
          <w:color w:val="000000"/>
          <w:sz w:val="20"/>
          <w:szCs w:val="20"/>
        </w:rPr>
        <w:t>Für Rückfragen steht Ihnen der Autor gerne zur Verfügung.</w:t>
      </w:r>
    </w:p>
    <w:p w14:paraId="316D8023" w14:textId="50D981B3" w:rsidR="00203EDC" w:rsidRPr="00C6771D" w:rsidRDefault="00203EDC" w:rsidP="00C6771D">
      <w:pPr>
        <w:spacing w:after="0" w:line="240" w:lineRule="auto"/>
        <w:jc w:val="both"/>
        <w:rPr>
          <w:rFonts w:ascii="Arial" w:hAnsi="Arial" w:cs="Arial"/>
          <w:sz w:val="20"/>
          <w:szCs w:val="20"/>
        </w:rPr>
      </w:pPr>
    </w:p>
    <w:p w14:paraId="19893A9E"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Klaus-Dieter Franzen</w:t>
      </w:r>
    </w:p>
    <w:p w14:paraId="409A7619"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Rechtsanwalt</w:t>
      </w:r>
    </w:p>
    <w:p w14:paraId="00B1677D"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Fachanwalt für Arbeitsrecht</w:t>
      </w:r>
    </w:p>
    <w:p w14:paraId="30DBE80C"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Zertifizierter Datenschutzbeauftragter (DSB-TÜV)</w:t>
      </w:r>
    </w:p>
    <w:p w14:paraId="7F61F2B1"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 --- --- --- --- --- --- --- --- --- --- --- --- --- --- --- ---</w:t>
      </w:r>
    </w:p>
    <w:p w14:paraId="6BA86FF0" w14:textId="77777777" w:rsidR="00203EDC" w:rsidRPr="00C6771D" w:rsidRDefault="00203EDC" w:rsidP="00C6771D">
      <w:pPr>
        <w:spacing w:after="0" w:line="240" w:lineRule="auto"/>
        <w:jc w:val="both"/>
        <w:rPr>
          <w:rFonts w:ascii="Arial" w:hAnsi="Arial" w:cs="Arial"/>
          <w:sz w:val="20"/>
          <w:szCs w:val="20"/>
        </w:rPr>
      </w:pPr>
      <w:proofErr w:type="spellStart"/>
      <w:r w:rsidRPr="00C6771D">
        <w:rPr>
          <w:rFonts w:ascii="Arial" w:hAnsi="Arial" w:cs="Arial"/>
          <w:sz w:val="20"/>
          <w:szCs w:val="20"/>
        </w:rPr>
        <w:t>FranzenLegal</w:t>
      </w:r>
      <w:proofErr w:type="spellEnd"/>
    </w:p>
    <w:p w14:paraId="37DB478B"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Altenwall 6</w:t>
      </w:r>
    </w:p>
    <w:p w14:paraId="725474FD"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D-28195 Bremen</w:t>
      </w:r>
    </w:p>
    <w:p w14:paraId="2D18F16B"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Telefon: +49 (0) 421 33 78 413</w:t>
      </w:r>
    </w:p>
    <w:p w14:paraId="30F251BD" w14:textId="77777777" w:rsidR="00203EDC" w:rsidRPr="00C6771D" w:rsidRDefault="00203EDC" w:rsidP="00C6771D">
      <w:pPr>
        <w:spacing w:after="0" w:line="240" w:lineRule="auto"/>
        <w:jc w:val="both"/>
        <w:rPr>
          <w:rFonts w:ascii="Arial" w:hAnsi="Arial" w:cs="Arial"/>
          <w:sz w:val="20"/>
          <w:szCs w:val="20"/>
        </w:rPr>
      </w:pPr>
      <w:r w:rsidRPr="00C6771D">
        <w:rPr>
          <w:rFonts w:ascii="Arial" w:hAnsi="Arial" w:cs="Arial"/>
          <w:sz w:val="20"/>
          <w:szCs w:val="20"/>
        </w:rPr>
        <w:t>Telefax: +49 (0) 421 33 78 416</w:t>
      </w:r>
    </w:p>
    <w:p w14:paraId="5B369E85" w14:textId="77777777" w:rsidR="00203EDC" w:rsidRPr="00C6771D" w:rsidRDefault="00074A4F" w:rsidP="00C6771D">
      <w:pPr>
        <w:spacing w:after="0" w:line="240" w:lineRule="auto"/>
        <w:jc w:val="both"/>
        <w:rPr>
          <w:rFonts w:ascii="Arial" w:hAnsi="Arial" w:cs="Arial"/>
          <w:sz w:val="20"/>
          <w:szCs w:val="20"/>
        </w:rPr>
      </w:pPr>
      <w:hyperlink r:id="rId6" w:history="1">
        <w:r w:rsidR="00203EDC" w:rsidRPr="00C6771D">
          <w:rPr>
            <w:rStyle w:val="Hyperlink"/>
            <w:rFonts w:ascii="Arial" w:hAnsi="Arial" w:cs="Arial"/>
            <w:sz w:val="20"/>
            <w:szCs w:val="20"/>
          </w:rPr>
          <w:t>www.franzen-legal.de</w:t>
        </w:r>
      </w:hyperlink>
      <w:r w:rsidR="00203EDC" w:rsidRPr="00C6771D">
        <w:rPr>
          <w:rFonts w:ascii="Arial" w:hAnsi="Arial" w:cs="Arial"/>
          <w:sz w:val="20"/>
          <w:szCs w:val="20"/>
        </w:rPr>
        <w:t xml:space="preserve"> </w:t>
      </w:r>
    </w:p>
    <w:p w14:paraId="596C2C81" w14:textId="77777777" w:rsidR="00203EDC" w:rsidRPr="00C6771D" w:rsidRDefault="00203EDC" w:rsidP="00C6771D">
      <w:pPr>
        <w:spacing w:after="0" w:line="240" w:lineRule="auto"/>
        <w:jc w:val="both"/>
        <w:rPr>
          <w:rFonts w:ascii="Arial" w:hAnsi="Arial" w:cs="Arial"/>
          <w:sz w:val="20"/>
          <w:szCs w:val="20"/>
        </w:rPr>
      </w:pPr>
    </w:p>
    <w:sectPr w:rsidR="00203EDC" w:rsidRPr="00C6771D">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6E425" w14:textId="77777777" w:rsidR="00074A4F" w:rsidRDefault="00074A4F" w:rsidP="005A26C4">
      <w:pPr>
        <w:spacing w:after="0" w:line="240" w:lineRule="auto"/>
      </w:pPr>
      <w:r>
        <w:separator/>
      </w:r>
    </w:p>
  </w:endnote>
  <w:endnote w:type="continuationSeparator" w:id="0">
    <w:p w14:paraId="0A747B6C" w14:textId="77777777" w:rsidR="00074A4F" w:rsidRDefault="00074A4F"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14:paraId="38715260" w14:textId="77777777" w:rsidR="00BB442F" w:rsidRDefault="00BB442F">
        <w:pPr>
          <w:pStyle w:val="Fuzeile"/>
          <w:jc w:val="center"/>
        </w:pPr>
        <w:r>
          <w:rPr>
            <w:noProof/>
            <w:lang w:eastAsia="de-DE"/>
          </w:rPr>
          <mc:AlternateContent>
            <mc:Choice Requires="wps">
              <w:drawing>
                <wp:inline distT="0" distB="0" distL="0" distR="0" wp14:anchorId="16349D5A" wp14:editId="7B85350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w:pict>
                <v:shapetype w14:anchorId="757C2020"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" fillcolor="black" stroked="f">
                  <v:fill r:id="rId1" o:title="" type="pattern"/>
                  <w10:anchorlock/>
                </v:shape>
              </w:pict>
            </mc:Fallback>
          </mc:AlternateContent>
        </w:r>
      </w:p>
      <w:p w14:paraId="6E71FBC6" w14:textId="77777777" w:rsidR="00BB442F" w:rsidRDefault="00BB442F">
        <w:pPr>
          <w:pStyle w:val="Fuzeile"/>
          <w:jc w:val="center"/>
        </w:pPr>
        <w:r>
          <w:fldChar w:fldCharType="begin"/>
        </w:r>
        <w:r>
          <w:instrText>PAGE    \* MERGEFORMAT</w:instrText>
        </w:r>
        <w:r>
          <w:fldChar w:fldCharType="separate"/>
        </w:r>
        <w:r w:rsidR="00A81404">
          <w:rPr>
            <w:noProof/>
          </w:rPr>
          <w:t>1</w:t>
        </w:r>
        <w:r>
          <w:fldChar w:fldCharType="end"/>
        </w:r>
      </w:p>
    </w:sdtContent>
  </w:sdt>
  <w:p w14:paraId="25D4BF09" w14:textId="77777777"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8AAC7" w14:textId="77777777" w:rsidR="00074A4F" w:rsidRDefault="00074A4F" w:rsidP="005A26C4">
      <w:pPr>
        <w:spacing w:after="0" w:line="240" w:lineRule="auto"/>
      </w:pPr>
      <w:r>
        <w:separator/>
      </w:r>
    </w:p>
  </w:footnote>
  <w:footnote w:type="continuationSeparator" w:id="0">
    <w:p w14:paraId="5872B9F3" w14:textId="77777777" w:rsidR="00074A4F" w:rsidRDefault="00074A4F"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231CD" w14:textId="5A439442"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BF757F">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1A4F23">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675C8C">
      <w:rPr>
        <w:rFonts w:ascii="Arial" w:eastAsia="Calibri" w:hAnsi="Arial" w:cs="Arial"/>
        <w:b/>
        <w:bCs/>
        <w:sz w:val="28"/>
        <w:szCs w:val="28"/>
        <w:lang w:eastAsia="de-DE"/>
      </w:rPr>
      <w:t>6</w:t>
    </w:r>
  </w:p>
  <w:p w14:paraId="6B4D39B2" w14:textId="77777777" w:rsidR="00232ED3" w:rsidRDefault="005A26C4" w:rsidP="005A26C4">
    <w:pPr>
      <w:pStyle w:val="Kopfzeile"/>
      <w:jc w:val="right"/>
      <w:rPr>
        <w:rFonts w:ascii="Arial" w:hAnsi="Arial" w:cs="Arial"/>
        <w:sz w:val="32"/>
        <w:szCs w:val="32"/>
      </w:rPr>
    </w:pPr>
    <w:bookmarkStart w:id="1" w:name="_Hlk22231110"/>
    <w:r w:rsidRPr="00BA78DF">
      <w:rPr>
        <w:rFonts w:ascii="Arial" w:eastAsia="Calibri" w:hAnsi="Arial" w:cs="Times New Roman"/>
        <w:noProof/>
        <w:lang w:eastAsia="de-DE"/>
      </w:rPr>
      <w:drawing>
        <wp:inline distT="0" distB="0" distL="0" distR="0" wp14:anchorId="3EC49761" wp14:editId="16F027D4">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1"/>
  </w:p>
  <w:p w14:paraId="0CAB52A9" w14:textId="77777777" w:rsidR="002B4E59" w:rsidRPr="002B4E59" w:rsidRDefault="002B4E59" w:rsidP="005A26C4">
    <w:pPr>
      <w:pStyle w:val="Kopfzeile"/>
      <w:jc w:val="right"/>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74A4F"/>
    <w:rsid w:val="000B0847"/>
    <w:rsid w:val="000C081E"/>
    <w:rsid w:val="000F264F"/>
    <w:rsid w:val="000F63D8"/>
    <w:rsid w:val="001A2659"/>
    <w:rsid w:val="001A4F23"/>
    <w:rsid w:val="001B5E55"/>
    <w:rsid w:val="001C119B"/>
    <w:rsid w:val="001D25C5"/>
    <w:rsid w:val="001F47ED"/>
    <w:rsid w:val="00203EDC"/>
    <w:rsid w:val="00232ED3"/>
    <w:rsid w:val="002365ED"/>
    <w:rsid w:val="00280686"/>
    <w:rsid w:val="00286249"/>
    <w:rsid w:val="00286EB0"/>
    <w:rsid w:val="002A1A1B"/>
    <w:rsid w:val="002B4E59"/>
    <w:rsid w:val="002F55D6"/>
    <w:rsid w:val="002F67F6"/>
    <w:rsid w:val="003558BF"/>
    <w:rsid w:val="00390ACD"/>
    <w:rsid w:val="00445100"/>
    <w:rsid w:val="004A1169"/>
    <w:rsid w:val="004B78F9"/>
    <w:rsid w:val="004C4572"/>
    <w:rsid w:val="004E1D17"/>
    <w:rsid w:val="004E5691"/>
    <w:rsid w:val="005036BB"/>
    <w:rsid w:val="0050747C"/>
    <w:rsid w:val="00574F9D"/>
    <w:rsid w:val="005805F8"/>
    <w:rsid w:val="005869A8"/>
    <w:rsid w:val="005A26C4"/>
    <w:rsid w:val="005D5092"/>
    <w:rsid w:val="00632516"/>
    <w:rsid w:val="00645B26"/>
    <w:rsid w:val="00650B0C"/>
    <w:rsid w:val="00675C8C"/>
    <w:rsid w:val="006936B9"/>
    <w:rsid w:val="006B755A"/>
    <w:rsid w:val="006F372F"/>
    <w:rsid w:val="007810AC"/>
    <w:rsid w:val="007B4353"/>
    <w:rsid w:val="007E2B72"/>
    <w:rsid w:val="008406B2"/>
    <w:rsid w:val="00846A64"/>
    <w:rsid w:val="008A1DB8"/>
    <w:rsid w:val="008C0513"/>
    <w:rsid w:val="00936146"/>
    <w:rsid w:val="00985B0C"/>
    <w:rsid w:val="00991CBA"/>
    <w:rsid w:val="0099463F"/>
    <w:rsid w:val="009A15EB"/>
    <w:rsid w:val="009E21A8"/>
    <w:rsid w:val="00A722BC"/>
    <w:rsid w:val="00A81404"/>
    <w:rsid w:val="00A82319"/>
    <w:rsid w:val="00A827D9"/>
    <w:rsid w:val="00B5447C"/>
    <w:rsid w:val="00B830A2"/>
    <w:rsid w:val="00B83CF8"/>
    <w:rsid w:val="00BB442F"/>
    <w:rsid w:val="00BB47C3"/>
    <w:rsid w:val="00BC512C"/>
    <w:rsid w:val="00BF757F"/>
    <w:rsid w:val="00C6771D"/>
    <w:rsid w:val="00C77E45"/>
    <w:rsid w:val="00C95762"/>
    <w:rsid w:val="00CC0141"/>
    <w:rsid w:val="00CE65B9"/>
    <w:rsid w:val="00D1355D"/>
    <w:rsid w:val="00D13872"/>
    <w:rsid w:val="00D1712B"/>
    <w:rsid w:val="00D64924"/>
    <w:rsid w:val="00DB65DB"/>
    <w:rsid w:val="00DC3D53"/>
    <w:rsid w:val="00E72BCA"/>
    <w:rsid w:val="00EA2FD9"/>
    <w:rsid w:val="00EB1644"/>
    <w:rsid w:val="00ED06A4"/>
    <w:rsid w:val="00F61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2C81"/>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paragraph" w:styleId="StandardWeb">
    <w:name w:val="Normal (Web)"/>
    <w:basedOn w:val="Standard"/>
    <w:uiPriority w:val="99"/>
    <w:unhideWhenUsed/>
    <w:rsid w:val="00C6771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677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anzen-legal.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3825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2026-10-03T14:15:00Z</dcterms:created>
  <dcterms:modified xsi:type="dcterms:W3CDTF">2026-10-03T14:15:00Z</dcterms:modified>
</cp:coreProperties>
</file>