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6DF" w:rsidRPr="00E410AB" w:rsidRDefault="009A56DF" w:rsidP="002162C5">
      <w:pPr>
        <w:jc w:val="right"/>
        <w:rPr>
          <w:rFonts w:ascii="Arial" w:hAnsi="Arial" w:cs="Arial"/>
          <w:sz w:val="20"/>
          <w:szCs w:val="20"/>
        </w:rPr>
      </w:pPr>
      <w:bookmarkStart w:id="0" w:name="_Hlk22231110"/>
      <w:r w:rsidRPr="00E410AB">
        <w:rPr>
          <w:rFonts w:ascii="Arial" w:eastAsia="Times New Roman" w:hAnsi="Arial" w:cs="Arial"/>
          <w:noProof/>
          <w:sz w:val="20"/>
          <w:szCs w:val="20"/>
          <w:lang w:eastAsia="de-DE"/>
        </w:rPr>
        <w:drawing>
          <wp:inline distT="0" distB="0" distL="0" distR="0" wp14:anchorId="3FFA990E" wp14:editId="0BCE90FF">
            <wp:extent cx="1314450" cy="5524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0"/>
    </w:p>
    <w:p w:rsidR="009A56DF" w:rsidRPr="00E410AB" w:rsidRDefault="009A56DF" w:rsidP="009A56DF">
      <w:pPr>
        <w:tabs>
          <w:tab w:val="center" w:pos="4536"/>
          <w:tab w:val="right" w:pos="9072"/>
        </w:tabs>
        <w:spacing w:line="360" w:lineRule="auto"/>
        <w:jc w:val="center"/>
        <w:rPr>
          <w:rFonts w:ascii="Arial" w:hAnsi="Arial" w:cs="Arial"/>
          <w:b/>
          <w:bCs/>
          <w:sz w:val="20"/>
          <w:szCs w:val="20"/>
        </w:rPr>
      </w:pPr>
      <w:r w:rsidRPr="00E410AB">
        <w:rPr>
          <w:rFonts w:ascii="Arial" w:hAnsi="Arial" w:cs="Arial"/>
          <w:b/>
          <w:bCs/>
          <w:sz w:val="20"/>
          <w:szCs w:val="20"/>
        </w:rPr>
        <w:t>Urteile, die</w:t>
      </w:r>
      <w:r w:rsidR="00E14E2D">
        <w:rPr>
          <w:rFonts w:ascii="Arial" w:hAnsi="Arial" w:cs="Arial"/>
          <w:b/>
          <w:bCs/>
          <w:sz w:val="20"/>
          <w:szCs w:val="20"/>
        </w:rPr>
        <w:t xml:space="preserve"> Ihre Leser</w:t>
      </w:r>
      <w:bookmarkStart w:id="1" w:name="_GoBack"/>
      <w:bookmarkEnd w:id="1"/>
      <w:r w:rsidRPr="00E410AB">
        <w:rPr>
          <w:rFonts w:ascii="Arial" w:hAnsi="Arial" w:cs="Arial"/>
          <w:b/>
          <w:bCs/>
          <w:sz w:val="20"/>
          <w:szCs w:val="20"/>
        </w:rPr>
        <w:t xml:space="preserve"> interessieren könnten</w:t>
      </w:r>
    </w:p>
    <w:p w:rsidR="009A56DF" w:rsidRPr="00E410AB" w:rsidRDefault="009A56DF" w:rsidP="009A56DF">
      <w:pPr>
        <w:tabs>
          <w:tab w:val="center" w:pos="4536"/>
          <w:tab w:val="right" w:pos="9072"/>
        </w:tabs>
        <w:jc w:val="center"/>
        <w:rPr>
          <w:rFonts w:ascii="Arial" w:eastAsia="ヒラギノ角ゴ Pro W3" w:hAnsi="Arial" w:cs="Arial"/>
          <w:b/>
          <w:bCs/>
          <w:sz w:val="20"/>
          <w:szCs w:val="20"/>
        </w:rPr>
      </w:pPr>
    </w:p>
    <w:p w:rsidR="009A56DF" w:rsidRPr="00E410AB" w:rsidRDefault="009A56DF" w:rsidP="009A56DF">
      <w:pPr>
        <w:jc w:val="center"/>
        <w:rPr>
          <w:rFonts w:ascii="Arial" w:hAnsi="Arial" w:cs="Arial"/>
          <w:sz w:val="20"/>
          <w:szCs w:val="20"/>
        </w:rPr>
      </w:pPr>
      <w:r w:rsidRPr="00E410AB">
        <w:rPr>
          <w:rFonts w:ascii="Arial" w:hAnsi="Arial" w:cs="Arial"/>
          <w:sz w:val="20"/>
          <w:szCs w:val="20"/>
        </w:rPr>
        <w:t>zusammengestellt von Rechtsanwalt/Fachanwalt für Arbeitsrecht u. Fachanwalt für Erbrecht</w:t>
      </w:r>
    </w:p>
    <w:p w:rsidR="009A56DF" w:rsidRPr="00E410AB" w:rsidRDefault="009A56DF" w:rsidP="009A56DF">
      <w:pPr>
        <w:spacing w:line="360" w:lineRule="auto"/>
        <w:jc w:val="center"/>
        <w:rPr>
          <w:rFonts w:ascii="Arial" w:hAnsi="Arial" w:cs="Arial"/>
          <w:sz w:val="20"/>
          <w:szCs w:val="20"/>
        </w:rPr>
      </w:pPr>
      <w:r w:rsidRPr="00E410AB">
        <w:rPr>
          <w:rFonts w:ascii="Arial" w:hAnsi="Arial" w:cs="Arial"/>
          <w:sz w:val="20"/>
          <w:szCs w:val="20"/>
        </w:rPr>
        <w:t>Michael Henn, Stuttgart</w:t>
      </w:r>
    </w:p>
    <w:p w:rsidR="00CD4D01" w:rsidRPr="00CD4D01" w:rsidRDefault="00CD4D01" w:rsidP="00E930BE">
      <w:pPr>
        <w:rPr>
          <w:rFonts w:ascii="Arial" w:eastAsia="Calibri" w:hAnsi="Arial" w:cs="Arial"/>
          <w:bCs/>
          <w:lang w:eastAsia="de-DE"/>
        </w:rPr>
      </w:pPr>
    </w:p>
    <w:p w:rsidR="005B72FE" w:rsidRPr="00C34E03" w:rsidRDefault="00C34E03" w:rsidP="00CD4D01">
      <w:pPr>
        <w:jc w:val="center"/>
        <w:rPr>
          <w:rFonts w:ascii="Arial" w:eastAsia="Calibri" w:hAnsi="Arial" w:cs="Arial"/>
          <w:b/>
          <w:bCs/>
          <w:lang w:eastAsia="de-DE"/>
        </w:rPr>
      </w:pPr>
      <w:r w:rsidRPr="00C34E03">
        <w:rPr>
          <w:rFonts w:ascii="Arial" w:eastAsia="Calibri" w:hAnsi="Arial" w:cs="Arial"/>
          <w:b/>
          <w:bCs/>
          <w:lang w:eastAsia="de-DE"/>
        </w:rPr>
        <w:t>I.</w:t>
      </w:r>
    </w:p>
    <w:p w:rsidR="00622F9B" w:rsidRPr="00C34E03" w:rsidRDefault="00C34E03" w:rsidP="00CD4D01">
      <w:pPr>
        <w:jc w:val="center"/>
        <w:rPr>
          <w:rFonts w:ascii="Arial" w:eastAsia="Calibri" w:hAnsi="Arial" w:cs="Arial"/>
          <w:b/>
          <w:bCs/>
          <w:lang w:eastAsia="de-DE"/>
        </w:rPr>
      </w:pPr>
      <w:r w:rsidRPr="00C34E03">
        <w:rPr>
          <w:rFonts w:ascii="Arial" w:hAnsi="Arial" w:cs="Arial"/>
          <w:b/>
        </w:rPr>
        <w:t>Landesarbeitsgericht Baden-Württemberg</w:t>
      </w:r>
    </w:p>
    <w:p w:rsidR="00622F9B" w:rsidRPr="00C34E03" w:rsidRDefault="00C34E03" w:rsidP="00CD4D01">
      <w:pPr>
        <w:jc w:val="center"/>
        <w:rPr>
          <w:rFonts w:ascii="Arial" w:eastAsia="Calibri" w:hAnsi="Arial" w:cs="Arial"/>
          <w:bCs/>
          <w:lang w:eastAsia="de-DE"/>
        </w:rPr>
      </w:pPr>
      <w:r w:rsidRPr="00C34E03">
        <w:rPr>
          <w:rFonts w:ascii="Arial" w:eastAsia="Calibri" w:hAnsi="Arial" w:cs="Arial"/>
          <w:bCs/>
          <w:lang w:eastAsia="de-DE"/>
        </w:rPr>
        <w:t xml:space="preserve">Urteil vom 12.08.2026 - </w:t>
      </w:r>
      <w:r w:rsidRPr="00C34E03">
        <w:rPr>
          <w:rFonts w:ascii="Arial" w:hAnsi="Arial" w:cs="Arial"/>
        </w:rPr>
        <w:t>4 Sa 58/25</w:t>
      </w:r>
    </w:p>
    <w:p w:rsidR="00622F9B" w:rsidRPr="00CD4D01" w:rsidRDefault="00622F9B" w:rsidP="00E930BE">
      <w:pPr>
        <w:rPr>
          <w:rFonts w:ascii="Arial" w:eastAsia="Calibri" w:hAnsi="Arial" w:cs="Arial"/>
          <w:bCs/>
          <w:sz w:val="20"/>
          <w:szCs w:val="20"/>
          <w:lang w:eastAsia="de-DE"/>
        </w:rPr>
      </w:pPr>
    </w:p>
    <w:p w:rsidR="00622F9B" w:rsidRPr="00CD4D01" w:rsidRDefault="00CD4D01" w:rsidP="00E930BE">
      <w:pPr>
        <w:rPr>
          <w:rFonts w:ascii="Arial" w:eastAsia="Calibri" w:hAnsi="Arial" w:cs="Arial"/>
          <w:b/>
          <w:bCs/>
          <w:sz w:val="20"/>
          <w:szCs w:val="20"/>
          <w:u w:val="single"/>
          <w:lang w:eastAsia="de-DE"/>
        </w:rPr>
      </w:pPr>
      <w:r w:rsidRPr="00CD4D01">
        <w:rPr>
          <w:rFonts w:ascii="Arial" w:eastAsia="Calibri" w:hAnsi="Arial" w:cs="Arial"/>
          <w:b/>
          <w:bCs/>
          <w:sz w:val="20"/>
          <w:szCs w:val="20"/>
          <w:u w:val="single"/>
          <w:lang w:eastAsia="de-DE"/>
        </w:rPr>
        <w:t>Schlagworte/Normen:</w:t>
      </w:r>
    </w:p>
    <w:p w:rsidR="00622F9B" w:rsidRPr="00CD4D01" w:rsidRDefault="00CD4D01" w:rsidP="00E930BE">
      <w:pPr>
        <w:rPr>
          <w:rFonts w:ascii="Arial" w:eastAsia="Calibri" w:hAnsi="Arial" w:cs="Arial"/>
          <w:b/>
          <w:bCs/>
          <w:sz w:val="20"/>
          <w:szCs w:val="20"/>
          <w:lang w:eastAsia="de-DE"/>
        </w:rPr>
      </w:pPr>
      <w:r w:rsidRPr="00CD4D01">
        <w:rPr>
          <w:rFonts w:ascii="Arial" w:hAnsi="Arial" w:cs="Arial"/>
          <w:b/>
          <w:sz w:val="20"/>
          <w:szCs w:val="20"/>
        </w:rPr>
        <w:t xml:space="preserve">Gleichbehandlungsgrundsatz - Entgeltgleichbehandlung nach dem </w:t>
      </w:r>
      <w:proofErr w:type="spellStart"/>
      <w:r w:rsidRPr="00CD4D01">
        <w:rPr>
          <w:rFonts w:ascii="Arial" w:hAnsi="Arial" w:cs="Arial"/>
          <w:b/>
          <w:sz w:val="20"/>
          <w:szCs w:val="20"/>
        </w:rPr>
        <w:t>EntgTranspG</w:t>
      </w:r>
      <w:proofErr w:type="spellEnd"/>
      <w:r w:rsidRPr="00CD4D01">
        <w:rPr>
          <w:rFonts w:ascii="Arial" w:hAnsi="Arial" w:cs="Arial"/>
          <w:b/>
          <w:sz w:val="20"/>
          <w:szCs w:val="20"/>
        </w:rPr>
        <w:t xml:space="preserve"> - Paarvergleich - kein Auskunftsanspruch auf individuelle Vergleichsentgelte im Rahmen der abgestuften Darlegungs- und Beweislast</w:t>
      </w:r>
    </w:p>
    <w:p w:rsidR="00622F9B" w:rsidRPr="00CD4D01" w:rsidRDefault="00622F9B" w:rsidP="00E930BE">
      <w:pPr>
        <w:rPr>
          <w:rFonts w:ascii="Arial" w:eastAsia="Calibri" w:hAnsi="Arial" w:cs="Arial"/>
          <w:bCs/>
          <w:sz w:val="20"/>
          <w:szCs w:val="20"/>
          <w:lang w:eastAsia="de-DE"/>
        </w:rPr>
      </w:pPr>
    </w:p>
    <w:p w:rsidR="00622F9B" w:rsidRPr="00CD4D01" w:rsidRDefault="00CD4D01" w:rsidP="00E930BE">
      <w:pPr>
        <w:rPr>
          <w:rFonts w:ascii="Arial" w:eastAsia="Calibri" w:hAnsi="Arial" w:cs="Arial"/>
          <w:b/>
          <w:bCs/>
          <w:sz w:val="20"/>
          <w:szCs w:val="20"/>
          <w:u w:val="single"/>
          <w:lang w:eastAsia="de-DE"/>
        </w:rPr>
      </w:pPr>
      <w:r w:rsidRPr="00CD4D01">
        <w:rPr>
          <w:rFonts w:ascii="Arial" w:eastAsia="Calibri" w:hAnsi="Arial" w:cs="Arial"/>
          <w:b/>
          <w:bCs/>
          <w:sz w:val="20"/>
          <w:szCs w:val="20"/>
          <w:u w:val="single"/>
          <w:lang w:eastAsia="de-DE"/>
        </w:rPr>
        <w:t>Leitsätze:</w:t>
      </w:r>
    </w:p>
    <w:p w:rsidR="00CD4D01" w:rsidRDefault="00CD4D01" w:rsidP="00CD4D01">
      <w:pPr>
        <w:jc w:val="both"/>
        <w:rPr>
          <w:rFonts w:ascii="Arial" w:eastAsia="Times New Roman" w:hAnsi="Arial" w:cs="Arial"/>
          <w:sz w:val="20"/>
          <w:szCs w:val="20"/>
          <w:lang w:eastAsia="de-DE"/>
        </w:rPr>
      </w:pPr>
      <w:r w:rsidRPr="00CD4D01">
        <w:rPr>
          <w:rFonts w:ascii="Arial" w:eastAsia="Times New Roman" w:hAnsi="Arial" w:cs="Arial"/>
          <w:sz w:val="20"/>
          <w:szCs w:val="20"/>
          <w:lang w:eastAsia="de-DE"/>
        </w:rPr>
        <w:t xml:space="preserve">1. Bei einer Entgeltgleichheitsklage genügt es zur Begründung einer die Umkehr der Beweislast auslösenden Kausalitätsvermutung </w:t>
      </w:r>
      <w:proofErr w:type="spellStart"/>
      <w:r w:rsidRPr="00CD4D01">
        <w:rPr>
          <w:rFonts w:ascii="Arial" w:eastAsia="Times New Roman" w:hAnsi="Arial" w:cs="Arial"/>
          <w:sz w:val="20"/>
          <w:szCs w:val="20"/>
          <w:lang w:eastAsia="de-DE"/>
        </w:rPr>
        <w:t>iSv</w:t>
      </w:r>
      <w:proofErr w:type="spellEnd"/>
      <w:r w:rsidRPr="00CD4D01">
        <w:rPr>
          <w:rFonts w:ascii="Arial" w:eastAsia="Times New Roman" w:hAnsi="Arial" w:cs="Arial"/>
          <w:sz w:val="20"/>
          <w:szCs w:val="20"/>
          <w:lang w:eastAsia="de-DE"/>
        </w:rPr>
        <w:t>. §</w:t>
      </w:r>
      <w:r>
        <w:rPr>
          <w:rFonts w:ascii="Arial" w:eastAsia="Times New Roman" w:hAnsi="Arial" w:cs="Arial"/>
          <w:sz w:val="20"/>
          <w:szCs w:val="20"/>
          <w:lang w:eastAsia="de-DE"/>
        </w:rPr>
        <w:t xml:space="preserve"> </w:t>
      </w:r>
      <w:r w:rsidRPr="00CD4D01">
        <w:rPr>
          <w:rFonts w:ascii="Arial" w:eastAsia="Times New Roman" w:hAnsi="Arial" w:cs="Arial"/>
          <w:sz w:val="20"/>
          <w:szCs w:val="20"/>
          <w:lang w:eastAsia="de-DE"/>
        </w:rPr>
        <w:t>22 AGG grundsätzlich, wenn die klagende Partei beweist, dass ihr Arbeitgeber ihr ein niedrigeres Entgelt zahlt als ihrem zum Vergleich herangezogenen Kollegen des anderen Geschlechts, der die gleiche oder gleichwertige Arbeit verrichtet. Eines Vortrags einer überwiegenden Kausalitätswahrscheinlichkeit, dass die Ungleichbehandlung aus einem in §</w:t>
      </w:r>
      <w:r>
        <w:rPr>
          <w:rFonts w:ascii="Arial" w:eastAsia="Times New Roman" w:hAnsi="Arial" w:cs="Arial"/>
          <w:sz w:val="20"/>
          <w:szCs w:val="20"/>
          <w:lang w:eastAsia="de-DE"/>
        </w:rPr>
        <w:t xml:space="preserve"> </w:t>
      </w:r>
      <w:r w:rsidRPr="00CD4D01">
        <w:rPr>
          <w:rFonts w:ascii="Arial" w:eastAsia="Times New Roman" w:hAnsi="Arial" w:cs="Arial"/>
          <w:sz w:val="20"/>
          <w:szCs w:val="20"/>
          <w:lang w:eastAsia="de-DE"/>
        </w:rPr>
        <w:t>1 AGG genannten Grund erfolgte, bedarf es nicht (Anschluss an BAG 23. Oktober 2025 - 8 AZR 300/25).</w:t>
      </w:r>
    </w:p>
    <w:p w:rsidR="00CD4D01" w:rsidRPr="00CD4D01" w:rsidRDefault="00CD4D01" w:rsidP="00CD4D01">
      <w:pPr>
        <w:jc w:val="both"/>
        <w:rPr>
          <w:rFonts w:ascii="Arial" w:eastAsia="Times New Roman" w:hAnsi="Arial" w:cs="Arial"/>
          <w:sz w:val="20"/>
          <w:szCs w:val="20"/>
          <w:lang w:eastAsia="de-DE"/>
        </w:rPr>
      </w:pPr>
    </w:p>
    <w:p w:rsidR="00CD4D01" w:rsidRDefault="00CD4D01" w:rsidP="00CD4D01">
      <w:pPr>
        <w:jc w:val="both"/>
        <w:rPr>
          <w:rFonts w:ascii="Arial" w:eastAsia="Times New Roman" w:hAnsi="Arial" w:cs="Arial"/>
          <w:sz w:val="20"/>
          <w:szCs w:val="20"/>
          <w:lang w:eastAsia="de-DE"/>
        </w:rPr>
      </w:pPr>
      <w:r w:rsidRPr="00CD4D01">
        <w:rPr>
          <w:rFonts w:ascii="Arial" w:eastAsia="Times New Roman" w:hAnsi="Arial" w:cs="Arial"/>
          <w:sz w:val="20"/>
          <w:szCs w:val="20"/>
          <w:lang w:eastAsia="de-DE"/>
        </w:rPr>
        <w:t>2. Die Darlegung einer Ungleichbehandlung beim Entgelt wegen des Geschlechts erfolgt in der Regel über einen sog. "Paarvergleich".</w:t>
      </w:r>
    </w:p>
    <w:p w:rsidR="00CD4D01" w:rsidRPr="00CD4D01" w:rsidRDefault="00CD4D01" w:rsidP="00CD4D01">
      <w:pPr>
        <w:jc w:val="both"/>
        <w:rPr>
          <w:rFonts w:ascii="Arial" w:eastAsia="Times New Roman" w:hAnsi="Arial" w:cs="Arial"/>
          <w:sz w:val="20"/>
          <w:szCs w:val="20"/>
          <w:lang w:eastAsia="de-DE"/>
        </w:rPr>
      </w:pPr>
    </w:p>
    <w:p w:rsidR="00CD4D01" w:rsidRDefault="00CD4D01" w:rsidP="00CD4D01">
      <w:pPr>
        <w:jc w:val="both"/>
        <w:rPr>
          <w:rFonts w:ascii="Arial" w:eastAsia="Times New Roman" w:hAnsi="Arial" w:cs="Arial"/>
          <w:sz w:val="20"/>
          <w:szCs w:val="20"/>
          <w:lang w:eastAsia="de-DE"/>
        </w:rPr>
      </w:pPr>
      <w:r w:rsidRPr="00CD4D01">
        <w:rPr>
          <w:rFonts w:ascii="Arial" w:eastAsia="Times New Roman" w:hAnsi="Arial" w:cs="Arial"/>
          <w:sz w:val="20"/>
          <w:szCs w:val="20"/>
          <w:lang w:eastAsia="de-DE"/>
        </w:rPr>
        <w:t>3. Beansprucht die klagende Partei eine Anpassung an das Medianentgelt des anderen Geschlechts, macht sie einen Paarvergleich geltend mit dem realen oder fiktiven (bekannten oder unbekannten) "Medianarbeitnehmer" des anderen Geschlechts.</w:t>
      </w:r>
    </w:p>
    <w:p w:rsidR="00CD4D01" w:rsidRPr="00CD4D01" w:rsidRDefault="00CD4D01" w:rsidP="00CD4D01">
      <w:pPr>
        <w:jc w:val="both"/>
        <w:rPr>
          <w:rFonts w:ascii="Arial" w:eastAsia="Times New Roman" w:hAnsi="Arial" w:cs="Arial"/>
          <w:sz w:val="20"/>
          <w:szCs w:val="20"/>
          <w:lang w:eastAsia="de-DE"/>
        </w:rPr>
      </w:pPr>
    </w:p>
    <w:p w:rsidR="00CD4D01" w:rsidRDefault="00CD4D01" w:rsidP="00CD4D01">
      <w:pPr>
        <w:jc w:val="both"/>
        <w:rPr>
          <w:rFonts w:ascii="Arial" w:eastAsia="Times New Roman" w:hAnsi="Arial" w:cs="Arial"/>
          <w:sz w:val="20"/>
          <w:szCs w:val="20"/>
          <w:lang w:eastAsia="de-DE"/>
        </w:rPr>
      </w:pPr>
      <w:r w:rsidRPr="00CD4D01">
        <w:rPr>
          <w:rFonts w:ascii="Arial" w:eastAsia="Times New Roman" w:hAnsi="Arial" w:cs="Arial"/>
          <w:sz w:val="20"/>
          <w:szCs w:val="20"/>
          <w:lang w:eastAsia="de-DE"/>
        </w:rPr>
        <w:t>4. Das geltend gemachte Entgelt muss sich aus dem Sachverhalt ergeben, aus dem im Paarvergleich die Vermutungswirkung abgeleitet wird. Der Arbeitnehmer trägt für die Höhe des Entgelts des Vergleichsarbeitnehmers des anderen Geschlechts die Darlegungs- und Beweislast.</w:t>
      </w:r>
    </w:p>
    <w:p w:rsidR="00CD4D01" w:rsidRPr="00CD4D01" w:rsidRDefault="00CD4D01" w:rsidP="00CD4D01">
      <w:pPr>
        <w:jc w:val="both"/>
        <w:rPr>
          <w:rFonts w:ascii="Arial" w:eastAsia="Times New Roman" w:hAnsi="Arial" w:cs="Arial"/>
          <w:sz w:val="20"/>
          <w:szCs w:val="20"/>
          <w:lang w:eastAsia="de-DE"/>
        </w:rPr>
      </w:pPr>
    </w:p>
    <w:p w:rsidR="00CD4D01" w:rsidRDefault="00CD4D01" w:rsidP="00CD4D01">
      <w:pPr>
        <w:jc w:val="both"/>
        <w:rPr>
          <w:rFonts w:ascii="Arial" w:eastAsia="Times New Roman" w:hAnsi="Arial" w:cs="Arial"/>
          <w:sz w:val="20"/>
          <w:szCs w:val="20"/>
          <w:lang w:eastAsia="de-DE"/>
        </w:rPr>
      </w:pPr>
      <w:r w:rsidRPr="00CD4D01">
        <w:rPr>
          <w:rFonts w:ascii="Arial" w:eastAsia="Times New Roman" w:hAnsi="Arial" w:cs="Arial"/>
          <w:sz w:val="20"/>
          <w:szCs w:val="20"/>
          <w:lang w:eastAsia="de-DE"/>
        </w:rPr>
        <w:t>5. Der Arbeitgeber trägt im Rahmen der abgestuften Darlegungs- und Beweislastverteilung keine sekundäre Darlegungslast zur konkreten Höhe des individuellen Entgelts des von der Klägerseite herangezogenen Vergleichsarbeitnehmers. Dem stehen die Wertungen der §§</w:t>
      </w:r>
      <w:r w:rsidR="000C019A">
        <w:rPr>
          <w:rFonts w:ascii="Arial" w:eastAsia="Times New Roman" w:hAnsi="Arial" w:cs="Arial"/>
          <w:sz w:val="20"/>
          <w:szCs w:val="20"/>
          <w:lang w:eastAsia="de-DE"/>
        </w:rPr>
        <w:t xml:space="preserve"> </w:t>
      </w:r>
      <w:r w:rsidRPr="00CD4D01">
        <w:rPr>
          <w:rFonts w:ascii="Arial" w:eastAsia="Times New Roman" w:hAnsi="Arial" w:cs="Arial"/>
          <w:sz w:val="20"/>
          <w:szCs w:val="20"/>
          <w:lang w:eastAsia="de-DE"/>
        </w:rPr>
        <w:t>11 Abs.</w:t>
      </w:r>
      <w:r w:rsidR="000C019A" w:rsidRPr="00CD4D01">
        <w:rPr>
          <w:rFonts w:ascii="Arial" w:eastAsia="Times New Roman" w:hAnsi="Arial" w:cs="Arial"/>
          <w:sz w:val="20"/>
          <w:szCs w:val="20"/>
          <w:lang w:eastAsia="de-DE"/>
        </w:rPr>
        <w:t xml:space="preserve"> </w:t>
      </w:r>
      <w:r w:rsidRPr="00CD4D01">
        <w:rPr>
          <w:rFonts w:ascii="Arial" w:eastAsia="Times New Roman" w:hAnsi="Arial" w:cs="Arial"/>
          <w:sz w:val="20"/>
          <w:szCs w:val="20"/>
          <w:lang w:eastAsia="de-DE"/>
        </w:rPr>
        <w:t>3 und 12 Abs.</w:t>
      </w:r>
      <w:r w:rsidR="000C019A" w:rsidRPr="00CD4D01">
        <w:rPr>
          <w:rFonts w:ascii="Arial" w:eastAsia="Times New Roman" w:hAnsi="Arial" w:cs="Arial"/>
          <w:sz w:val="20"/>
          <w:szCs w:val="20"/>
          <w:lang w:eastAsia="de-DE"/>
        </w:rPr>
        <w:t xml:space="preserve"> </w:t>
      </w:r>
      <w:r w:rsidRPr="00CD4D01">
        <w:rPr>
          <w:rFonts w:ascii="Arial" w:eastAsia="Times New Roman" w:hAnsi="Arial" w:cs="Arial"/>
          <w:sz w:val="20"/>
          <w:szCs w:val="20"/>
          <w:lang w:eastAsia="de-DE"/>
        </w:rPr>
        <w:t xml:space="preserve">3 </w:t>
      </w:r>
      <w:proofErr w:type="spellStart"/>
      <w:r w:rsidRPr="00CD4D01">
        <w:rPr>
          <w:rFonts w:ascii="Arial" w:eastAsia="Times New Roman" w:hAnsi="Arial" w:cs="Arial"/>
          <w:sz w:val="20"/>
          <w:szCs w:val="20"/>
          <w:lang w:eastAsia="de-DE"/>
        </w:rPr>
        <w:t>EntgTranspG</w:t>
      </w:r>
      <w:proofErr w:type="spellEnd"/>
      <w:r w:rsidRPr="00CD4D01">
        <w:rPr>
          <w:rFonts w:ascii="Arial" w:eastAsia="Times New Roman" w:hAnsi="Arial" w:cs="Arial"/>
          <w:sz w:val="20"/>
          <w:szCs w:val="20"/>
          <w:lang w:eastAsia="de-DE"/>
        </w:rPr>
        <w:t xml:space="preserve"> entgegen.</w:t>
      </w:r>
    </w:p>
    <w:p w:rsidR="00CD4D01" w:rsidRPr="00CD4D01" w:rsidRDefault="00CD4D01" w:rsidP="00CD4D01">
      <w:pPr>
        <w:jc w:val="both"/>
        <w:rPr>
          <w:rFonts w:ascii="Arial" w:eastAsia="Times New Roman" w:hAnsi="Arial" w:cs="Arial"/>
          <w:sz w:val="20"/>
          <w:szCs w:val="20"/>
          <w:lang w:eastAsia="de-DE"/>
        </w:rPr>
      </w:pPr>
    </w:p>
    <w:p w:rsidR="00622F9B" w:rsidRPr="000C019A" w:rsidRDefault="000C019A" w:rsidP="000C019A">
      <w:pPr>
        <w:jc w:val="both"/>
        <w:rPr>
          <w:rFonts w:ascii="Arial" w:eastAsia="Calibri" w:hAnsi="Arial" w:cs="Arial"/>
          <w:b/>
          <w:bCs/>
          <w:sz w:val="20"/>
          <w:szCs w:val="20"/>
          <w:u w:val="single"/>
          <w:lang w:eastAsia="de-DE"/>
        </w:rPr>
      </w:pPr>
      <w:r w:rsidRPr="000C019A">
        <w:rPr>
          <w:rFonts w:ascii="Arial" w:eastAsia="Calibri" w:hAnsi="Arial" w:cs="Arial"/>
          <w:b/>
          <w:bCs/>
          <w:sz w:val="20"/>
          <w:szCs w:val="20"/>
          <w:u w:val="single"/>
          <w:lang w:eastAsia="de-DE"/>
        </w:rPr>
        <w:t xml:space="preserve">Siehe: </w:t>
      </w:r>
    </w:p>
    <w:p w:rsidR="000C019A" w:rsidRPr="007405D9" w:rsidRDefault="00B15653" w:rsidP="000C019A">
      <w:pPr>
        <w:pStyle w:val="StandardWeb"/>
        <w:spacing w:before="0" w:beforeAutospacing="0" w:after="0" w:afterAutospacing="0"/>
        <w:jc w:val="both"/>
        <w:rPr>
          <w:rFonts w:ascii="Arial" w:hAnsi="Arial" w:cs="Arial"/>
          <w:sz w:val="18"/>
          <w:szCs w:val="18"/>
        </w:rPr>
      </w:pPr>
      <w:hyperlink r:id="rId8" w:tgtFrame="_blank" w:history="1">
        <w:r w:rsidR="000C019A" w:rsidRPr="007405D9">
          <w:rPr>
            <w:rStyle w:val="Hyperlink"/>
            <w:rFonts w:ascii="Arial" w:hAnsi="Arial" w:cs="Arial"/>
            <w:color w:val="auto"/>
            <w:sz w:val="18"/>
            <w:szCs w:val="18"/>
          </w:rPr>
          <w:t>https://www.landesrecht-bw.de/bsbw/document/NJRE001652327/format/xsl/part/L/anchor/resultlistentry4?oi=kadqcKmgfe&amp;sourceP=%7B%22position%22%3A3%2C%22sort%22%3A%22juris%22%2C%22source%22%3A%22TL%22%7D</w:t>
        </w:r>
      </w:hyperlink>
      <w:r w:rsidR="000C019A" w:rsidRPr="007405D9">
        <w:rPr>
          <w:rFonts w:ascii="Arial" w:hAnsi="Arial" w:cs="Arial"/>
          <w:sz w:val="18"/>
          <w:szCs w:val="18"/>
        </w:rPr>
        <w:t xml:space="preserve"> </w:t>
      </w:r>
    </w:p>
    <w:p w:rsidR="00622F9B" w:rsidRPr="00CD4D01" w:rsidRDefault="00622F9B" w:rsidP="00E930BE">
      <w:pPr>
        <w:rPr>
          <w:rFonts w:ascii="Arial" w:eastAsia="Calibri" w:hAnsi="Arial" w:cs="Arial"/>
          <w:bCs/>
          <w:sz w:val="20"/>
          <w:szCs w:val="20"/>
          <w:lang w:eastAsia="de-DE"/>
        </w:rPr>
      </w:pPr>
    </w:p>
    <w:p w:rsidR="00622F9B" w:rsidRPr="00F1661B" w:rsidRDefault="000C019A" w:rsidP="00F1661B">
      <w:pPr>
        <w:jc w:val="center"/>
        <w:rPr>
          <w:rFonts w:ascii="Arial" w:eastAsia="Calibri" w:hAnsi="Arial" w:cs="Arial"/>
          <w:b/>
          <w:bCs/>
          <w:lang w:eastAsia="de-DE"/>
        </w:rPr>
      </w:pPr>
      <w:r w:rsidRPr="00F1661B">
        <w:rPr>
          <w:rFonts w:ascii="Arial" w:eastAsia="Calibri" w:hAnsi="Arial" w:cs="Arial"/>
          <w:b/>
          <w:bCs/>
          <w:lang w:eastAsia="de-DE"/>
        </w:rPr>
        <w:t>II.</w:t>
      </w:r>
    </w:p>
    <w:p w:rsidR="00622F9B" w:rsidRPr="00F1661B" w:rsidRDefault="000C019A" w:rsidP="00F1661B">
      <w:pPr>
        <w:jc w:val="center"/>
        <w:rPr>
          <w:rFonts w:ascii="Arial" w:eastAsia="Calibri" w:hAnsi="Arial" w:cs="Arial"/>
          <w:b/>
          <w:bCs/>
          <w:lang w:eastAsia="de-DE"/>
        </w:rPr>
      </w:pPr>
      <w:r w:rsidRPr="00F1661B">
        <w:rPr>
          <w:rFonts w:ascii="Arial" w:hAnsi="Arial" w:cs="Arial"/>
          <w:b/>
        </w:rPr>
        <w:t>Landesarbeitsgericht Baden-Württemberg</w:t>
      </w:r>
    </w:p>
    <w:p w:rsidR="000C019A" w:rsidRPr="00F1661B" w:rsidRDefault="00F1661B" w:rsidP="00F1661B">
      <w:pPr>
        <w:jc w:val="center"/>
        <w:rPr>
          <w:rFonts w:ascii="Arial" w:eastAsia="Calibri" w:hAnsi="Arial" w:cs="Arial"/>
          <w:bCs/>
          <w:lang w:eastAsia="de-DE"/>
        </w:rPr>
      </w:pPr>
      <w:r w:rsidRPr="00F1661B">
        <w:rPr>
          <w:rFonts w:ascii="Arial" w:eastAsia="Calibri" w:hAnsi="Arial" w:cs="Arial"/>
          <w:bCs/>
          <w:lang w:eastAsia="de-DE"/>
        </w:rPr>
        <w:t xml:space="preserve">Urteil vom 18.08.2026 - </w:t>
      </w:r>
      <w:r w:rsidRPr="00F1661B">
        <w:rPr>
          <w:rFonts w:ascii="Arial" w:hAnsi="Arial" w:cs="Arial"/>
        </w:rPr>
        <w:t>2 Sa 14/24</w:t>
      </w:r>
    </w:p>
    <w:p w:rsidR="000C019A" w:rsidRDefault="000C019A" w:rsidP="00E930BE">
      <w:pPr>
        <w:rPr>
          <w:rFonts w:ascii="Arial" w:eastAsia="Calibri" w:hAnsi="Arial" w:cs="Arial"/>
          <w:bCs/>
          <w:sz w:val="20"/>
          <w:szCs w:val="20"/>
          <w:lang w:eastAsia="de-DE"/>
        </w:rPr>
      </w:pPr>
    </w:p>
    <w:p w:rsidR="000C019A" w:rsidRPr="00F1661B" w:rsidRDefault="00F1661B" w:rsidP="00E930BE">
      <w:pPr>
        <w:rPr>
          <w:rFonts w:ascii="Arial" w:eastAsia="Calibri" w:hAnsi="Arial" w:cs="Arial"/>
          <w:b/>
          <w:bCs/>
          <w:sz w:val="20"/>
          <w:szCs w:val="20"/>
          <w:u w:val="single"/>
          <w:lang w:eastAsia="de-DE"/>
        </w:rPr>
      </w:pPr>
      <w:r w:rsidRPr="00F1661B">
        <w:rPr>
          <w:rFonts w:ascii="Arial" w:eastAsia="Calibri" w:hAnsi="Arial" w:cs="Arial"/>
          <w:b/>
          <w:bCs/>
          <w:sz w:val="20"/>
          <w:szCs w:val="20"/>
          <w:u w:val="single"/>
          <w:lang w:eastAsia="de-DE"/>
        </w:rPr>
        <w:t>Schlagworte/Normen</w:t>
      </w:r>
      <w:r>
        <w:rPr>
          <w:rFonts w:ascii="Arial" w:eastAsia="Calibri" w:hAnsi="Arial" w:cs="Arial"/>
          <w:b/>
          <w:bCs/>
          <w:sz w:val="20"/>
          <w:szCs w:val="20"/>
          <w:u w:val="single"/>
          <w:lang w:eastAsia="de-DE"/>
        </w:rPr>
        <w:t>:</w:t>
      </w:r>
    </w:p>
    <w:p w:rsidR="000C019A" w:rsidRPr="00F1661B" w:rsidRDefault="00F1661B" w:rsidP="00E930BE">
      <w:pPr>
        <w:rPr>
          <w:rFonts w:ascii="Arial" w:eastAsia="Calibri" w:hAnsi="Arial" w:cs="Arial"/>
          <w:b/>
          <w:bCs/>
          <w:sz w:val="20"/>
          <w:szCs w:val="20"/>
          <w:lang w:eastAsia="de-DE"/>
        </w:rPr>
      </w:pPr>
      <w:proofErr w:type="spellStart"/>
      <w:r w:rsidRPr="00F1661B">
        <w:rPr>
          <w:rFonts w:ascii="Arial" w:hAnsi="Arial" w:cs="Arial"/>
          <w:b/>
          <w:sz w:val="20"/>
          <w:szCs w:val="20"/>
        </w:rPr>
        <w:t>Equal</w:t>
      </w:r>
      <w:proofErr w:type="spellEnd"/>
      <w:r w:rsidRPr="00F1661B">
        <w:rPr>
          <w:rFonts w:ascii="Arial" w:hAnsi="Arial" w:cs="Arial"/>
          <w:b/>
          <w:sz w:val="20"/>
          <w:szCs w:val="20"/>
        </w:rPr>
        <w:t xml:space="preserve"> Pay - Entgelttransparenz - Gleichbehandlungsgrundsatz - Medianentgelt</w:t>
      </w:r>
    </w:p>
    <w:p w:rsidR="000C019A" w:rsidRDefault="000C019A" w:rsidP="00E930BE">
      <w:pPr>
        <w:rPr>
          <w:rFonts w:ascii="Arial" w:eastAsia="Calibri" w:hAnsi="Arial" w:cs="Arial"/>
          <w:bCs/>
          <w:sz w:val="20"/>
          <w:szCs w:val="20"/>
          <w:lang w:eastAsia="de-DE"/>
        </w:rPr>
      </w:pPr>
    </w:p>
    <w:p w:rsidR="000C019A" w:rsidRPr="00F1661B" w:rsidRDefault="00F1661B" w:rsidP="00E930BE">
      <w:pPr>
        <w:rPr>
          <w:rFonts w:ascii="Arial" w:eastAsia="Calibri" w:hAnsi="Arial" w:cs="Arial"/>
          <w:b/>
          <w:bCs/>
          <w:sz w:val="20"/>
          <w:szCs w:val="20"/>
          <w:u w:val="single"/>
          <w:lang w:eastAsia="de-DE"/>
        </w:rPr>
      </w:pPr>
      <w:r w:rsidRPr="00F1661B">
        <w:rPr>
          <w:rFonts w:ascii="Arial" w:eastAsia="Calibri" w:hAnsi="Arial" w:cs="Arial"/>
          <w:b/>
          <w:bCs/>
          <w:sz w:val="20"/>
          <w:szCs w:val="20"/>
          <w:u w:val="single"/>
          <w:lang w:eastAsia="de-DE"/>
        </w:rPr>
        <w:t>Leitsätze</w:t>
      </w:r>
      <w:r>
        <w:rPr>
          <w:rFonts w:ascii="Arial" w:eastAsia="Calibri" w:hAnsi="Arial" w:cs="Arial"/>
          <w:b/>
          <w:bCs/>
          <w:sz w:val="20"/>
          <w:szCs w:val="20"/>
          <w:u w:val="single"/>
          <w:lang w:eastAsia="de-DE"/>
        </w:rPr>
        <w:t>:</w:t>
      </w:r>
    </w:p>
    <w:p w:rsidR="00F1661B" w:rsidRDefault="00F1661B" w:rsidP="00F1661B">
      <w:pPr>
        <w:pStyle w:val="StandardWeb"/>
        <w:spacing w:before="0" w:beforeAutospacing="0" w:after="0" w:afterAutospacing="0"/>
        <w:jc w:val="both"/>
        <w:rPr>
          <w:rFonts w:ascii="Arial" w:hAnsi="Arial" w:cs="Arial"/>
          <w:sz w:val="20"/>
          <w:szCs w:val="20"/>
        </w:rPr>
      </w:pPr>
      <w:r w:rsidRPr="00F1661B">
        <w:rPr>
          <w:rFonts w:ascii="Arial" w:hAnsi="Arial" w:cs="Arial"/>
          <w:sz w:val="20"/>
          <w:szCs w:val="20"/>
        </w:rPr>
        <w:t>1. Es steht unionsrechtlich nicht im Sinne eines "</w:t>
      </w:r>
      <w:proofErr w:type="spellStart"/>
      <w:r w:rsidRPr="00F1661B">
        <w:rPr>
          <w:rFonts w:ascii="Arial" w:hAnsi="Arial" w:cs="Arial"/>
          <w:sz w:val="20"/>
          <w:szCs w:val="20"/>
        </w:rPr>
        <w:t>acte</w:t>
      </w:r>
      <w:proofErr w:type="spellEnd"/>
      <w:r w:rsidRPr="00F1661B">
        <w:rPr>
          <w:rFonts w:ascii="Arial" w:hAnsi="Arial" w:cs="Arial"/>
          <w:sz w:val="20"/>
          <w:szCs w:val="20"/>
        </w:rPr>
        <w:t xml:space="preserve"> </w:t>
      </w:r>
      <w:proofErr w:type="spellStart"/>
      <w:r w:rsidRPr="00F1661B">
        <w:rPr>
          <w:rFonts w:ascii="Arial" w:hAnsi="Arial" w:cs="Arial"/>
          <w:sz w:val="20"/>
          <w:szCs w:val="20"/>
        </w:rPr>
        <w:t>claire</w:t>
      </w:r>
      <w:proofErr w:type="spellEnd"/>
      <w:r w:rsidRPr="00F1661B">
        <w:rPr>
          <w:rFonts w:ascii="Arial" w:hAnsi="Arial" w:cs="Arial"/>
          <w:sz w:val="20"/>
          <w:szCs w:val="20"/>
        </w:rPr>
        <w:t>" fest, dass die höhere Vergütung der zum Paarvergleich herangezogenen Vergleichsperson des anderen Geschlechts nicht nur regelhaft, sondern ausnahmslos ein (mithin absolutes) Indiz im Sinne des §</w:t>
      </w:r>
      <w:r>
        <w:rPr>
          <w:rFonts w:ascii="Arial" w:hAnsi="Arial" w:cs="Arial"/>
          <w:sz w:val="20"/>
          <w:szCs w:val="20"/>
        </w:rPr>
        <w:t xml:space="preserve"> </w:t>
      </w:r>
      <w:r w:rsidRPr="00F1661B">
        <w:rPr>
          <w:rFonts w:ascii="Arial" w:hAnsi="Arial" w:cs="Arial"/>
          <w:sz w:val="20"/>
          <w:szCs w:val="20"/>
        </w:rPr>
        <w:t xml:space="preserve">22 AGG darstellt und die Gesamtsituation bei der Vergütung innerhalb der männlichen und weiblichen Vergleichsgruppe - sei es im Median oder im </w:t>
      </w:r>
      <w:r w:rsidRPr="00F1661B">
        <w:rPr>
          <w:rFonts w:ascii="Arial" w:hAnsi="Arial" w:cs="Arial"/>
          <w:sz w:val="20"/>
          <w:szCs w:val="20"/>
        </w:rPr>
        <w:lastRenderedPageBreak/>
        <w:t xml:space="preserve">Durchschnitt - auf dieser Ebene der Prüfung zwingend unberücksichtigt zu bleiben hat. Es ist nicht offenkundig, dass Unionsrecht die ansonsten im Diskriminierungsrecht anerkannte Gesamtwürdigung zur Bestimmung der hinreichenden Kausalitätswahrscheinlichkeit im Entgeltbereich </w:t>
      </w:r>
      <w:proofErr w:type="gramStart"/>
      <w:r w:rsidRPr="00F1661B">
        <w:rPr>
          <w:rFonts w:ascii="Arial" w:hAnsi="Arial" w:cs="Arial"/>
          <w:sz w:val="20"/>
          <w:szCs w:val="20"/>
        </w:rPr>
        <w:t>verbietet.</w:t>
      </w:r>
      <w:bookmarkStart w:id="2" w:name="_retrdlink_232"/>
      <w:r w:rsidRPr="00F1661B">
        <w:rPr>
          <w:rFonts w:ascii="Arial" w:hAnsi="Arial" w:cs="Arial"/>
          <w:sz w:val="20"/>
          <w:szCs w:val="20"/>
        </w:rPr>
        <w:t>(</w:t>
      </w:r>
      <w:proofErr w:type="gramEnd"/>
      <w:r w:rsidRPr="00F1661B">
        <w:rPr>
          <w:rFonts w:ascii="Arial" w:hAnsi="Arial" w:cs="Arial"/>
          <w:sz w:val="20"/>
          <w:szCs w:val="20"/>
        </w:rPr>
        <w:t xml:space="preserve">Rn.232) </w:t>
      </w:r>
      <w:bookmarkEnd w:id="2"/>
    </w:p>
    <w:p w:rsidR="00F1661B" w:rsidRPr="00F1661B" w:rsidRDefault="00F1661B" w:rsidP="00F1661B">
      <w:pPr>
        <w:pStyle w:val="StandardWeb"/>
        <w:spacing w:before="0" w:beforeAutospacing="0" w:after="0" w:afterAutospacing="0"/>
        <w:jc w:val="both"/>
        <w:rPr>
          <w:rFonts w:ascii="Arial" w:hAnsi="Arial" w:cs="Arial"/>
          <w:sz w:val="20"/>
          <w:szCs w:val="20"/>
        </w:rPr>
      </w:pPr>
    </w:p>
    <w:p w:rsidR="00F1661B" w:rsidRDefault="00F1661B" w:rsidP="00F1661B">
      <w:pPr>
        <w:pStyle w:val="StandardWeb"/>
        <w:spacing w:before="0" w:beforeAutospacing="0" w:after="0" w:afterAutospacing="0"/>
        <w:jc w:val="both"/>
        <w:rPr>
          <w:rFonts w:ascii="Arial" w:hAnsi="Arial" w:cs="Arial"/>
          <w:sz w:val="20"/>
          <w:szCs w:val="20"/>
        </w:rPr>
      </w:pPr>
      <w:r w:rsidRPr="00F1661B">
        <w:rPr>
          <w:rFonts w:ascii="Arial" w:hAnsi="Arial" w:cs="Arial"/>
          <w:sz w:val="20"/>
          <w:szCs w:val="20"/>
        </w:rPr>
        <w:t>2. Hinsichtlich der Kausalität zwischen dem Nachteil und dem verpönten Merkmal ist in §</w:t>
      </w:r>
      <w:r>
        <w:rPr>
          <w:rFonts w:ascii="Arial" w:hAnsi="Arial" w:cs="Arial"/>
          <w:sz w:val="20"/>
          <w:szCs w:val="20"/>
        </w:rPr>
        <w:t xml:space="preserve"> </w:t>
      </w:r>
      <w:r w:rsidRPr="00F1661B">
        <w:rPr>
          <w:rFonts w:ascii="Arial" w:hAnsi="Arial" w:cs="Arial"/>
          <w:sz w:val="20"/>
          <w:szCs w:val="20"/>
        </w:rPr>
        <w:t>22 AGG eine Beweislastregelung getroffen, die sich auch auf die Darlegungslast auswirkt. §</w:t>
      </w:r>
      <w:r>
        <w:rPr>
          <w:rFonts w:ascii="Arial" w:hAnsi="Arial" w:cs="Arial"/>
          <w:sz w:val="20"/>
          <w:szCs w:val="20"/>
        </w:rPr>
        <w:t xml:space="preserve"> </w:t>
      </w:r>
      <w:r w:rsidRPr="00F1661B">
        <w:rPr>
          <w:rFonts w:ascii="Arial" w:hAnsi="Arial" w:cs="Arial"/>
          <w:sz w:val="20"/>
          <w:szCs w:val="20"/>
        </w:rPr>
        <w:t>22 AGG gilt aber nicht zur Feststellung der gleichwertigen Tätigkeit, sondern setzt eine solche Feststellung voraus. Es reicht daher nicht aus, den Anschein einer gleichwertigen Tätigkeit darzulegen, um die Folgen des §</w:t>
      </w:r>
      <w:r>
        <w:rPr>
          <w:rFonts w:ascii="Arial" w:hAnsi="Arial" w:cs="Arial"/>
          <w:sz w:val="20"/>
          <w:szCs w:val="20"/>
        </w:rPr>
        <w:t xml:space="preserve"> </w:t>
      </w:r>
      <w:r w:rsidRPr="00F1661B">
        <w:rPr>
          <w:rFonts w:ascii="Arial" w:hAnsi="Arial" w:cs="Arial"/>
          <w:sz w:val="20"/>
          <w:szCs w:val="20"/>
        </w:rPr>
        <w:t xml:space="preserve">22 AGG auszulösen. Es ist folglich auch bei Bestehen eines solchen Anscheins nicht Sache des Arbeitgebers nachzuweisen, dass die Tätigkeiten der beiden zum Paarvergleich herangezogenen Arbeitnehmer verschieden sind. Der Anschein einer gleichwertigen Tätigkeit, der sich aus der Zuordnung zur selben betrieblichen Hierarchieebene ergibt, kann daher nur im Rahmen einer abgestuften Darlegungslast nach allgemeinen Grundsätzen von Relevanz </w:t>
      </w:r>
      <w:proofErr w:type="gramStart"/>
      <w:r w:rsidRPr="00F1661B">
        <w:rPr>
          <w:rFonts w:ascii="Arial" w:hAnsi="Arial" w:cs="Arial"/>
          <w:sz w:val="20"/>
          <w:szCs w:val="20"/>
        </w:rPr>
        <w:t>sein.</w:t>
      </w:r>
      <w:bookmarkStart w:id="3" w:name="_retrdlink_241"/>
      <w:r w:rsidRPr="00F1661B">
        <w:rPr>
          <w:rFonts w:ascii="Arial" w:hAnsi="Arial" w:cs="Arial"/>
          <w:sz w:val="20"/>
          <w:szCs w:val="20"/>
        </w:rPr>
        <w:t>(</w:t>
      </w:r>
      <w:proofErr w:type="gramEnd"/>
      <w:r w:rsidRPr="00F1661B">
        <w:rPr>
          <w:rFonts w:ascii="Arial" w:hAnsi="Arial" w:cs="Arial"/>
          <w:sz w:val="20"/>
          <w:szCs w:val="20"/>
        </w:rPr>
        <w:t xml:space="preserve">Rn.241) </w:t>
      </w:r>
      <w:bookmarkEnd w:id="3"/>
    </w:p>
    <w:p w:rsidR="00F1661B" w:rsidRPr="00F1661B" w:rsidRDefault="00F1661B" w:rsidP="00F1661B">
      <w:pPr>
        <w:pStyle w:val="StandardWeb"/>
        <w:spacing w:before="0" w:beforeAutospacing="0" w:after="0" w:afterAutospacing="0"/>
        <w:jc w:val="both"/>
        <w:rPr>
          <w:rFonts w:ascii="Arial" w:hAnsi="Arial" w:cs="Arial"/>
          <w:sz w:val="20"/>
          <w:szCs w:val="20"/>
        </w:rPr>
      </w:pPr>
    </w:p>
    <w:p w:rsidR="00F1661B" w:rsidRDefault="00F1661B" w:rsidP="00F1661B">
      <w:pPr>
        <w:pStyle w:val="StandardWeb"/>
        <w:spacing w:before="0" w:beforeAutospacing="0" w:after="0" w:afterAutospacing="0"/>
        <w:jc w:val="both"/>
        <w:rPr>
          <w:rFonts w:ascii="Arial" w:hAnsi="Arial" w:cs="Arial"/>
          <w:sz w:val="20"/>
          <w:szCs w:val="20"/>
        </w:rPr>
      </w:pPr>
      <w:r w:rsidRPr="00F1661B">
        <w:rPr>
          <w:rFonts w:ascii="Arial" w:hAnsi="Arial" w:cs="Arial"/>
          <w:sz w:val="20"/>
          <w:szCs w:val="20"/>
        </w:rPr>
        <w:t>3. Das Einsichtsrecht des Betriebsrats in die Bruttolohnlisten nach §</w:t>
      </w:r>
      <w:r w:rsidR="007405D9">
        <w:rPr>
          <w:rFonts w:ascii="Arial" w:hAnsi="Arial" w:cs="Arial"/>
          <w:sz w:val="20"/>
          <w:szCs w:val="20"/>
        </w:rPr>
        <w:t xml:space="preserve"> </w:t>
      </w:r>
      <w:r w:rsidRPr="00F1661B">
        <w:rPr>
          <w:rFonts w:ascii="Arial" w:hAnsi="Arial" w:cs="Arial"/>
          <w:sz w:val="20"/>
          <w:szCs w:val="20"/>
        </w:rPr>
        <w:t>80 Abs.</w:t>
      </w:r>
      <w:r w:rsidR="007405D9" w:rsidRPr="00F1661B">
        <w:rPr>
          <w:rFonts w:ascii="Arial" w:hAnsi="Arial" w:cs="Arial"/>
          <w:sz w:val="20"/>
          <w:szCs w:val="20"/>
        </w:rPr>
        <w:t xml:space="preserve"> </w:t>
      </w:r>
      <w:r w:rsidRPr="00F1661B">
        <w:rPr>
          <w:rFonts w:ascii="Arial" w:hAnsi="Arial" w:cs="Arial"/>
          <w:sz w:val="20"/>
          <w:szCs w:val="20"/>
        </w:rPr>
        <w:t>2 Satz</w:t>
      </w:r>
      <w:r w:rsidR="007405D9">
        <w:rPr>
          <w:rFonts w:ascii="Arial" w:hAnsi="Arial" w:cs="Arial"/>
          <w:sz w:val="20"/>
          <w:szCs w:val="20"/>
        </w:rPr>
        <w:t xml:space="preserve"> </w:t>
      </w:r>
      <w:r w:rsidRPr="00F1661B">
        <w:rPr>
          <w:rFonts w:ascii="Arial" w:hAnsi="Arial" w:cs="Arial"/>
          <w:sz w:val="20"/>
          <w:szCs w:val="20"/>
        </w:rPr>
        <w:t>2 BetrVG dient einzig der Ausübung oder Erfüllung gesetzlicher Rechte oder Pflichten des Betriebsrats und nicht der Vorbereitung individueller Vergütungsklagen einzelner Betriebsratsmitglieder oder anderer Mitarbeiter. Dem Betriebsrat ist es nicht erlaubt, die Gehaltsdaten von Spitzenverdienern der Vergleichsgruppe gegen deren Willen anderen Arbeitnehmern mitzuteilen. Der Betriebsrat darf lediglich Auskunft über den Mittelwert der Vergütung der Vergleichsgruppe geben, nach dem Entgelttransparenzgesetz in Form des Medianentgelts, nach der Entgelttransparenzrichtlinie in Form des durchschnittlichen Entgelts. Es erscheint unter materiellen Gerechtigkeitsaspekten sowie im Hinblick auf §</w:t>
      </w:r>
      <w:r w:rsidR="007405D9">
        <w:rPr>
          <w:rFonts w:ascii="Arial" w:hAnsi="Arial" w:cs="Arial"/>
          <w:sz w:val="20"/>
          <w:szCs w:val="20"/>
        </w:rPr>
        <w:t xml:space="preserve"> </w:t>
      </w:r>
      <w:r w:rsidRPr="00F1661B">
        <w:rPr>
          <w:rFonts w:ascii="Arial" w:hAnsi="Arial" w:cs="Arial"/>
          <w:sz w:val="20"/>
          <w:szCs w:val="20"/>
        </w:rPr>
        <w:t>78 Satz</w:t>
      </w:r>
      <w:r w:rsidR="007405D9">
        <w:rPr>
          <w:rFonts w:ascii="Arial" w:hAnsi="Arial" w:cs="Arial"/>
          <w:sz w:val="20"/>
          <w:szCs w:val="20"/>
        </w:rPr>
        <w:t xml:space="preserve"> </w:t>
      </w:r>
      <w:r w:rsidRPr="00F1661B">
        <w:rPr>
          <w:rFonts w:ascii="Arial" w:hAnsi="Arial" w:cs="Arial"/>
          <w:sz w:val="20"/>
          <w:szCs w:val="20"/>
        </w:rPr>
        <w:t xml:space="preserve">2 BetrVG zweifelhaft, dass ein </w:t>
      </w:r>
      <w:proofErr w:type="spellStart"/>
      <w:r w:rsidRPr="00F1661B">
        <w:rPr>
          <w:rFonts w:ascii="Arial" w:hAnsi="Arial" w:cs="Arial"/>
          <w:sz w:val="20"/>
          <w:szCs w:val="20"/>
        </w:rPr>
        <w:t>Equal</w:t>
      </w:r>
      <w:proofErr w:type="spellEnd"/>
      <w:r w:rsidRPr="00F1661B">
        <w:rPr>
          <w:rFonts w:ascii="Arial" w:hAnsi="Arial" w:cs="Arial"/>
          <w:sz w:val="20"/>
          <w:szCs w:val="20"/>
        </w:rPr>
        <w:t>-Pay-Anspruch auf Anpassung an das Gehalt eines Spitzenverdieners im Ergebnis davon abhängen soll, ob ein Arbeitnehmer selbst im Betriebsrat ist oder ein Betriebsratsmitglied davon überzeugen kann, ihm über den gesetzlichen Informationsanspruch hinaus individuelle Gehaltsdaten anderer Arbeitnehmer zu verschaffen oder nicht.</w:t>
      </w:r>
      <w:bookmarkStart w:id="4" w:name="_retrdlink_254"/>
      <w:r w:rsidRPr="00F1661B">
        <w:rPr>
          <w:rFonts w:ascii="Arial" w:hAnsi="Arial" w:cs="Arial"/>
          <w:sz w:val="20"/>
          <w:szCs w:val="20"/>
        </w:rPr>
        <w:t xml:space="preserve">(Rn.254) </w:t>
      </w:r>
      <w:bookmarkEnd w:id="4"/>
    </w:p>
    <w:p w:rsidR="00F1661B" w:rsidRPr="00F1661B" w:rsidRDefault="00F1661B" w:rsidP="00F1661B">
      <w:pPr>
        <w:pStyle w:val="StandardWeb"/>
        <w:spacing w:before="0" w:beforeAutospacing="0" w:after="0" w:afterAutospacing="0"/>
        <w:jc w:val="both"/>
        <w:rPr>
          <w:rFonts w:ascii="Arial" w:hAnsi="Arial" w:cs="Arial"/>
          <w:sz w:val="20"/>
          <w:szCs w:val="20"/>
        </w:rPr>
      </w:pPr>
    </w:p>
    <w:p w:rsidR="00F1661B" w:rsidRDefault="00F1661B" w:rsidP="00F1661B">
      <w:pPr>
        <w:pStyle w:val="StandardWeb"/>
        <w:spacing w:before="0" w:beforeAutospacing="0" w:after="0" w:afterAutospacing="0"/>
        <w:jc w:val="both"/>
        <w:rPr>
          <w:rFonts w:ascii="Arial" w:hAnsi="Arial" w:cs="Arial"/>
          <w:sz w:val="20"/>
          <w:szCs w:val="20"/>
        </w:rPr>
      </w:pPr>
      <w:r w:rsidRPr="00F1661B">
        <w:rPr>
          <w:rFonts w:ascii="Arial" w:hAnsi="Arial" w:cs="Arial"/>
          <w:sz w:val="20"/>
          <w:szCs w:val="20"/>
        </w:rPr>
        <w:t xml:space="preserve">4. Die Gesamtsituation bei der Vergütung innerhalb der männlichen und weiblichen Vergleichsgruppe - sei es im Median oder im Durchschnitt - kann im Rahmen der vom Arbeitgeber zu erbringenden Widerlegung der Vermutung einer geschlechtsbedingten Benachteiligung als ein Kriterium im Rahmen der vorzunehmenden Gesamtwürdigung bei der richterlichen Überzeugungsbildung herangezogen werden. Das Bundesarbeitsgericht (BAG 23. Oktober 2025 - 8 AZR 300/24) stellt mit diesem Kriterium ein notwendiges Korrektiv für eine etwaige Fehlindikation eines Paarvergleichs zur </w:t>
      </w:r>
      <w:proofErr w:type="gramStart"/>
      <w:r w:rsidRPr="00F1661B">
        <w:rPr>
          <w:rFonts w:ascii="Arial" w:hAnsi="Arial" w:cs="Arial"/>
          <w:sz w:val="20"/>
          <w:szCs w:val="20"/>
        </w:rPr>
        <w:t>Verfügung.</w:t>
      </w:r>
      <w:bookmarkStart w:id="5" w:name="_retrdlink_268"/>
      <w:r w:rsidRPr="007405D9">
        <w:rPr>
          <w:rFonts w:ascii="Arial" w:hAnsi="Arial" w:cs="Arial"/>
          <w:sz w:val="20"/>
          <w:szCs w:val="20"/>
        </w:rPr>
        <w:t>(</w:t>
      </w:r>
      <w:proofErr w:type="gramEnd"/>
      <w:r w:rsidRPr="007405D9">
        <w:rPr>
          <w:rFonts w:ascii="Arial" w:hAnsi="Arial" w:cs="Arial"/>
          <w:sz w:val="20"/>
          <w:szCs w:val="20"/>
        </w:rPr>
        <w:t xml:space="preserve">Rn.268) </w:t>
      </w:r>
      <w:bookmarkEnd w:id="5"/>
    </w:p>
    <w:p w:rsidR="00F1661B" w:rsidRPr="00F1661B" w:rsidRDefault="00F1661B" w:rsidP="00F1661B">
      <w:pPr>
        <w:pStyle w:val="StandardWeb"/>
        <w:spacing w:before="0" w:beforeAutospacing="0" w:after="0" w:afterAutospacing="0"/>
        <w:jc w:val="both"/>
        <w:rPr>
          <w:rFonts w:ascii="Arial" w:hAnsi="Arial" w:cs="Arial"/>
          <w:sz w:val="20"/>
          <w:szCs w:val="20"/>
        </w:rPr>
      </w:pPr>
    </w:p>
    <w:p w:rsidR="00F1661B" w:rsidRDefault="00F1661B" w:rsidP="00F1661B">
      <w:pPr>
        <w:pStyle w:val="StandardWeb"/>
        <w:spacing w:before="0" w:beforeAutospacing="0" w:after="0" w:afterAutospacing="0"/>
        <w:jc w:val="both"/>
        <w:rPr>
          <w:rFonts w:ascii="Arial" w:hAnsi="Arial" w:cs="Arial"/>
          <w:sz w:val="20"/>
          <w:szCs w:val="20"/>
        </w:rPr>
      </w:pPr>
      <w:r w:rsidRPr="00F1661B">
        <w:rPr>
          <w:rFonts w:ascii="Arial" w:hAnsi="Arial" w:cs="Arial"/>
          <w:sz w:val="20"/>
          <w:szCs w:val="20"/>
        </w:rPr>
        <w:t xml:space="preserve">5. Ein höheres vergütungsbezogenes Dienstalter der zum Paarvergleich herangezogenen Person auf einer bestimmten Hierarchieebene kann wegen der damit regelmäßig einhergehenden größeren Berufserfahrung ebenfalls ein Kriterium darstellen, um die Vermutung einer geschlechtsbedingten Benachteiligung im Entgeltbereich zu widerlegen. Eine Diskriminierung aufgrund des Geschlechts liegt bei der Nichtberücksichtigung von Elternzeiten beim vergütungsbezogenen Dienstalter nicht vor (Anschluss an BAG 27. Januar 2011 - 6 AZR 526/09 -, BAGE 137, 80 ff). Entsprechendes gilt bei der lediglich anteiligen Berücksichtigung von Teilzeit beim vergütungsbezogenen Dienstalter (Anschluss an EuGH 7. Juli 2022 - C-377/21 [Zone de </w:t>
      </w:r>
      <w:proofErr w:type="spellStart"/>
      <w:r w:rsidRPr="00F1661B">
        <w:rPr>
          <w:rFonts w:ascii="Arial" w:hAnsi="Arial" w:cs="Arial"/>
          <w:sz w:val="20"/>
          <w:szCs w:val="20"/>
        </w:rPr>
        <w:t>secours</w:t>
      </w:r>
      <w:proofErr w:type="spellEnd"/>
      <w:r w:rsidRPr="00F1661B">
        <w:rPr>
          <w:rFonts w:ascii="Arial" w:hAnsi="Arial" w:cs="Arial"/>
          <w:sz w:val="20"/>
          <w:szCs w:val="20"/>
        </w:rPr>
        <w:t xml:space="preserve"> </w:t>
      </w:r>
      <w:proofErr w:type="spellStart"/>
      <w:r w:rsidRPr="00F1661B">
        <w:rPr>
          <w:rFonts w:ascii="Arial" w:hAnsi="Arial" w:cs="Arial"/>
          <w:sz w:val="20"/>
          <w:szCs w:val="20"/>
        </w:rPr>
        <w:t>Hainaut-Centre</w:t>
      </w:r>
      <w:proofErr w:type="spellEnd"/>
      <w:r w:rsidRPr="00F1661B">
        <w:rPr>
          <w:rFonts w:ascii="Arial" w:hAnsi="Arial" w:cs="Arial"/>
          <w:sz w:val="20"/>
          <w:szCs w:val="20"/>
        </w:rPr>
        <w:t>]</w:t>
      </w:r>
      <w:proofErr w:type="gramStart"/>
      <w:r w:rsidRPr="00F1661B">
        <w:rPr>
          <w:rFonts w:ascii="Arial" w:hAnsi="Arial" w:cs="Arial"/>
          <w:sz w:val="20"/>
          <w:szCs w:val="20"/>
        </w:rPr>
        <w:t>).</w:t>
      </w:r>
      <w:bookmarkStart w:id="6" w:name="_retrdlink_275"/>
      <w:r w:rsidRPr="00F1661B">
        <w:rPr>
          <w:rFonts w:ascii="Arial" w:hAnsi="Arial" w:cs="Arial"/>
          <w:sz w:val="20"/>
          <w:szCs w:val="20"/>
        </w:rPr>
        <w:t>(</w:t>
      </w:r>
      <w:proofErr w:type="gramEnd"/>
      <w:r w:rsidRPr="00F1661B">
        <w:rPr>
          <w:rFonts w:ascii="Arial" w:hAnsi="Arial" w:cs="Arial"/>
          <w:sz w:val="20"/>
          <w:szCs w:val="20"/>
        </w:rPr>
        <w:t xml:space="preserve">Rn.275) </w:t>
      </w:r>
      <w:bookmarkStart w:id="7" w:name="_retrdlink_277"/>
      <w:bookmarkEnd w:id="6"/>
      <w:r w:rsidRPr="00F1661B">
        <w:rPr>
          <w:rFonts w:ascii="Arial" w:hAnsi="Arial" w:cs="Arial"/>
          <w:sz w:val="20"/>
          <w:szCs w:val="20"/>
        </w:rPr>
        <w:t xml:space="preserve">(Rn.277) </w:t>
      </w:r>
      <w:bookmarkEnd w:id="7"/>
    </w:p>
    <w:p w:rsidR="00F1661B" w:rsidRPr="00F1661B" w:rsidRDefault="00F1661B" w:rsidP="00F1661B">
      <w:pPr>
        <w:pStyle w:val="StandardWeb"/>
        <w:spacing w:before="0" w:beforeAutospacing="0" w:after="0" w:afterAutospacing="0"/>
        <w:jc w:val="both"/>
        <w:rPr>
          <w:rFonts w:ascii="Arial" w:hAnsi="Arial" w:cs="Arial"/>
          <w:sz w:val="20"/>
          <w:szCs w:val="20"/>
        </w:rPr>
      </w:pPr>
    </w:p>
    <w:p w:rsidR="00F1661B" w:rsidRPr="00F1661B" w:rsidRDefault="00F1661B" w:rsidP="00F1661B">
      <w:pPr>
        <w:pStyle w:val="StandardWeb"/>
        <w:spacing w:before="0" w:beforeAutospacing="0" w:after="0" w:afterAutospacing="0"/>
        <w:jc w:val="both"/>
        <w:rPr>
          <w:rFonts w:ascii="Arial" w:hAnsi="Arial" w:cs="Arial"/>
          <w:sz w:val="20"/>
          <w:szCs w:val="20"/>
        </w:rPr>
      </w:pPr>
      <w:r w:rsidRPr="00F1661B">
        <w:rPr>
          <w:rFonts w:ascii="Arial" w:hAnsi="Arial" w:cs="Arial"/>
          <w:sz w:val="20"/>
          <w:szCs w:val="20"/>
        </w:rPr>
        <w:t>6. Der arbeitsrechtliche Gleichbehandlungsgrundsatz ist bei Differenzierungen innerhalb der begünstigten Gruppe auf den Durchschnittswert gerichtet (Anschluss an BAG 23. Februar 2011 - 5 AZR 84/10). In diesem Umfang kann eine "Anpassung nach oben" verlangt werden, jedoch keine "Anpassung nach ganz oben" (entgegen LAG Düsseldorf 20. April 2023 - 13 Sa 535/22</w:t>
      </w:r>
      <w:proofErr w:type="gramStart"/>
      <w:r w:rsidRPr="00F1661B">
        <w:rPr>
          <w:rFonts w:ascii="Arial" w:hAnsi="Arial" w:cs="Arial"/>
          <w:sz w:val="20"/>
          <w:szCs w:val="20"/>
        </w:rPr>
        <w:t>).</w:t>
      </w:r>
      <w:bookmarkStart w:id="8" w:name="_retrdlink_328"/>
      <w:r w:rsidRPr="007405D9">
        <w:rPr>
          <w:rFonts w:ascii="Arial" w:hAnsi="Arial" w:cs="Arial"/>
          <w:sz w:val="20"/>
          <w:szCs w:val="20"/>
        </w:rPr>
        <w:t>(</w:t>
      </w:r>
      <w:proofErr w:type="gramEnd"/>
      <w:r w:rsidRPr="007405D9">
        <w:rPr>
          <w:rFonts w:ascii="Arial" w:hAnsi="Arial" w:cs="Arial"/>
          <w:sz w:val="20"/>
          <w:szCs w:val="20"/>
        </w:rPr>
        <w:t xml:space="preserve">Rn.328) </w:t>
      </w:r>
      <w:bookmarkEnd w:id="8"/>
    </w:p>
    <w:p w:rsidR="000C019A" w:rsidRDefault="000C019A" w:rsidP="007405D9">
      <w:pPr>
        <w:jc w:val="both"/>
        <w:rPr>
          <w:rFonts w:ascii="Arial" w:eastAsia="Calibri" w:hAnsi="Arial" w:cs="Arial"/>
          <w:bCs/>
          <w:sz w:val="20"/>
          <w:szCs w:val="20"/>
          <w:lang w:eastAsia="de-DE"/>
        </w:rPr>
      </w:pPr>
    </w:p>
    <w:p w:rsidR="00C31E51" w:rsidRPr="00C31E51" w:rsidRDefault="00C31E51" w:rsidP="007405D9">
      <w:pPr>
        <w:jc w:val="both"/>
        <w:rPr>
          <w:rFonts w:ascii="Arial" w:eastAsia="Calibri" w:hAnsi="Arial" w:cs="Arial"/>
          <w:bCs/>
          <w:sz w:val="20"/>
          <w:szCs w:val="20"/>
          <w:lang w:eastAsia="de-DE"/>
        </w:rPr>
      </w:pPr>
      <w:r w:rsidRPr="00C31E51">
        <w:rPr>
          <w:rFonts w:ascii="Arial" w:hAnsi="Arial" w:cs="Arial"/>
          <w:sz w:val="20"/>
          <w:szCs w:val="20"/>
        </w:rPr>
        <w:t>Entscheidung nach Zurückverweisung durch Urteil des Bundesarbeitsgerichts vom 23. Oktober 2025 - 8 AZR 300/24.</w:t>
      </w:r>
    </w:p>
    <w:p w:rsidR="00C31E51" w:rsidRPr="007405D9" w:rsidRDefault="00C31E51" w:rsidP="007405D9">
      <w:pPr>
        <w:jc w:val="both"/>
        <w:rPr>
          <w:rFonts w:ascii="Arial" w:eastAsia="Calibri" w:hAnsi="Arial" w:cs="Arial"/>
          <w:bCs/>
          <w:sz w:val="20"/>
          <w:szCs w:val="20"/>
          <w:lang w:eastAsia="de-DE"/>
        </w:rPr>
      </w:pPr>
    </w:p>
    <w:p w:rsidR="000C019A" w:rsidRPr="007405D9" w:rsidRDefault="007405D9" w:rsidP="007405D9">
      <w:pPr>
        <w:jc w:val="both"/>
        <w:rPr>
          <w:rFonts w:ascii="Arial" w:eastAsia="Calibri" w:hAnsi="Arial" w:cs="Arial"/>
          <w:b/>
          <w:bCs/>
          <w:sz w:val="20"/>
          <w:szCs w:val="20"/>
          <w:u w:val="single"/>
          <w:lang w:eastAsia="de-DE"/>
        </w:rPr>
      </w:pPr>
      <w:r w:rsidRPr="007405D9">
        <w:rPr>
          <w:rFonts w:ascii="Arial" w:eastAsia="Calibri" w:hAnsi="Arial" w:cs="Arial"/>
          <w:b/>
          <w:bCs/>
          <w:sz w:val="20"/>
          <w:szCs w:val="20"/>
          <w:u w:val="single"/>
          <w:lang w:eastAsia="de-DE"/>
        </w:rPr>
        <w:t>Siehe:</w:t>
      </w:r>
    </w:p>
    <w:p w:rsidR="007405D9" w:rsidRPr="002C1186" w:rsidRDefault="00B15653" w:rsidP="007405D9">
      <w:pPr>
        <w:pStyle w:val="StandardWeb"/>
        <w:spacing w:before="0" w:beforeAutospacing="0" w:after="0" w:afterAutospacing="0"/>
        <w:jc w:val="both"/>
        <w:rPr>
          <w:rFonts w:ascii="Arial" w:hAnsi="Arial" w:cs="Arial"/>
          <w:sz w:val="18"/>
          <w:szCs w:val="18"/>
        </w:rPr>
      </w:pPr>
      <w:hyperlink r:id="rId9" w:tgtFrame="_blank" w:history="1">
        <w:r w:rsidR="007405D9" w:rsidRPr="002C1186">
          <w:rPr>
            <w:rStyle w:val="Hyperlink"/>
            <w:rFonts w:ascii="Arial" w:hAnsi="Arial" w:cs="Arial"/>
            <w:color w:val="auto"/>
            <w:sz w:val="18"/>
            <w:szCs w:val="18"/>
          </w:rPr>
          <w:t>https://www.landesrecht-bw.de/bsbw/document/NJRE001651833/format/xsl/part/L/anchor/resultlistentry3?oi=kadqcKmgfe&amp;sourceP=%7B%22position%22%3A2%2C%22sort%22%3A%22juris%22%2C%22source%22%3A%22TL%22%7D</w:t>
        </w:r>
      </w:hyperlink>
      <w:r w:rsidR="007405D9" w:rsidRPr="002C1186">
        <w:rPr>
          <w:rFonts w:ascii="Arial" w:hAnsi="Arial" w:cs="Arial"/>
          <w:sz w:val="18"/>
          <w:szCs w:val="18"/>
        </w:rPr>
        <w:t xml:space="preserve"> </w:t>
      </w:r>
    </w:p>
    <w:p w:rsidR="000C019A" w:rsidRPr="007405D9" w:rsidRDefault="000C019A" w:rsidP="007405D9">
      <w:pPr>
        <w:jc w:val="both"/>
        <w:rPr>
          <w:rFonts w:ascii="Arial" w:eastAsia="Calibri" w:hAnsi="Arial" w:cs="Arial"/>
          <w:bCs/>
          <w:sz w:val="20"/>
          <w:szCs w:val="20"/>
          <w:lang w:eastAsia="de-DE"/>
        </w:rPr>
      </w:pPr>
    </w:p>
    <w:p w:rsidR="000C019A" w:rsidRPr="007405D9" w:rsidRDefault="007405D9" w:rsidP="007405D9">
      <w:pPr>
        <w:jc w:val="center"/>
        <w:rPr>
          <w:rFonts w:ascii="Arial" w:eastAsia="Calibri" w:hAnsi="Arial" w:cs="Arial"/>
          <w:b/>
          <w:bCs/>
          <w:lang w:eastAsia="de-DE"/>
        </w:rPr>
      </w:pPr>
      <w:r w:rsidRPr="007405D9">
        <w:rPr>
          <w:rFonts w:ascii="Arial" w:eastAsia="Calibri" w:hAnsi="Arial" w:cs="Arial"/>
          <w:b/>
          <w:bCs/>
          <w:lang w:eastAsia="de-DE"/>
        </w:rPr>
        <w:t>III.</w:t>
      </w:r>
    </w:p>
    <w:p w:rsidR="007405D9" w:rsidRPr="007405D9" w:rsidRDefault="007405D9" w:rsidP="007405D9">
      <w:pPr>
        <w:pStyle w:val="StandardWeb"/>
        <w:spacing w:before="0" w:beforeAutospacing="0" w:after="0" w:afterAutospacing="0"/>
        <w:jc w:val="center"/>
        <w:rPr>
          <w:rFonts w:ascii="Arial" w:hAnsi="Arial" w:cs="Arial"/>
          <w:b/>
          <w:sz w:val="22"/>
          <w:szCs w:val="22"/>
        </w:rPr>
      </w:pPr>
      <w:r w:rsidRPr="007405D9">
        <w:rPr>
          <w:rFonts w:ascii="Arial" w:hAnsi="Arial" w:cs="Arial"/>
          <w:b/>
          <w:sz w:val="22"/>
          <w:szCs w:val="22"/>
        </w:rPr>
        <w:t>Landesarbeitsgericht Hamm</w:t>
      </w:r>
    </w:p>
    <w:p w:rsidR="000C019A" w:rsidRPr="007405D9" w:rsidRDefault="007405D9" w:rsidP="007405D9">
      <w:pPr>
        <w:jc w:val="center"/>
        <w:rPr>
          <w:rFonts w:ascii="Arial" w:eastAsia="Calibri" w:hAnsi="Arial" w:cs="Arial"/>
          <w:bCs/>
          <w:lang w:eastAsia="de-DE"/>
        </w:rPr>
      </w:pPr>
      <w:r w:rsidRPr="007405D9">
        <w:rPr>
          <w:rFonts w:ascii="Arial" w:eastAsia="Calibri" w:hAnsi="Arial" w:cs="Arial"/>
          <w:bCs/>
          <w:lang w:eastAsia="de-DE"/>
        </w:rPr>
        <w:t xml:space="preserve">Urteil vom 28.08.2026 - </w:t>
      </w:r>
      <w:r w:rsidRPr="007405D9">
        <w:rPr>
          <w:rFonts w:ascii="Arial" w:hAnsi="Arial" w:cs="Arial"/>
        </w:rPr>
        <w:t xml:space="preserve">1 </w:t>
      </w:r>
      <w:proofErr w:type="spellStart"/>
      <w:r w:rsidRPr="007405D9">
        <w:rPr>
          <w:rFonts w:ascii="Arial" w:hAnsi="Arial" w:cs="Arial"/>
        </w:rPr>
        <w:t>SLa</w:t>
      </w:r>
      <w:proofErr w:type="spellEnd"/>
      <w:r w:rsidRPr="007405D9">
        <w:rPr>
          <w:rFonts w:ascii="Arial" w:hAnsi="Arial" w:cs="Arial"/>
        </w:rPr>
        <w:t xml:space="preserve"> 159/26</w:t>
      </w:r>
    </w:p>
    <w:p w:rsidR="000C019A" w:rsidRPr="007405D9" w:rsidRDefault="000C019A" w:rsidP="00E930BE">
      <w:pPr>
        <w:rPr>
          <w:rFonts w:ascii="Arial" w:eastAsia="Calibri" w:hAnsi="Arial" w:cs="Arial"/>
          <w:bCs/>
          <w:sz w:val="20"/>
          <w:szCs w:val="20"/>
          <w:lang w:eastAsia="de-DE"/>
        </w:rPr>
      </w:pPr>
    </w:p>
    <w:p w:rsidR="000C019A" w:rsidRPr="007405D9" w:rsidRDefault="007405D9" w:rsidP="00E930BE">
      <w:pPr>
        <w:rPr>
          <w:rFonts w:ascii="Arial" w:eastAsia="Calibri" w:hAnsi="Arial" w:cs="Arial"/>
          <w:b/>
          <w:bCs/>
          <w:sz w:val="20"/>
          <w:szCs w:val="20"/>
          <w:u w:val="single"/>
          <w:lang w:eastAsia="de-DE"/>
        </w:rPr>
      </w:pPr>
      <w:r w:rsidRPr="007405D9">
        <w:rPr>
          <w:rFonts w:ascii="Arial" w:eastAsia="Calibri" w:hAnsi="Arial" w:cs="Arial"/>
          <w:b/>
          <w:bCs/>
          <w:sz w:val="20"/>
          <w:szCs w:val="20"/>
          <w:u w:val="single"/>
          <w:lang w:eastAsia="de-DE"/>
        </w:rPr>
        <w:lastRenderedPageBreak/>
        <w:t>Schlagworte/Normen:</w:t>
      </w:r>
    </w:p>
    <w:p w:rsidR="007405D9" w:rsidRPr="00C31E51" w:rsidRDefault="007405D9" w:rsidP="00E930BE">
      <w:pPr>
        <w:rPr>
          <w:rFonts w:ascii="Arial" w:eastAsia="Calibri" w:hAnsi="Arial" w:cs="Arial"/>
          <w:b/>
          <w:bCs/>
          <w:sz w:val="20"/>
          <w:szCs w:val="20"/>
          <w:lang w:eastAsia="de-DE"/>
        </w:rPr>
      </w:pPr>
      <w:r w:rsidRPr="00C31E51">
        <w:rPr>
          <w:rFonts w:ascii="Arial" w:hAnsi="Arial" w:cs="Arial"/>
          <w:b/>
          <w:sz w:val="20"/>
          <w:szCs w:val="20"/>
        </w:rPr>
        <w:t xml:space="preserve">Rückforderung von Aus- und Fortbildungskosten; Psychotherapeuten in </w:t>
      </w:r>
      <w:proofErr w:type="spellStart"/>
      <w:r w:rsidRPr="00C31E51">
        <w:rPr>
          <w:rFonts w:ascii="Arial" w:hAnsi="Arial" w:cs="Arial"/>
          <w:b/>
          <w:sz w:val="20"/>
          <w:szCs w:val="20"/>
        </w:rPr>
        <w:t>Ausbil</w:t>
      </w:r>
      <w:proofErr w:type="spellEnd"/>
      <w:r w:rsidRPr="00C31E51">
        <w:rPr>
          <w:rFonts w:ascii="Arial" w:hAnsi="Arial" w:cs="Arial"/>
          <w:b/>
          <w:sz w:val="20"/>
          <w:szCs w:val="20"/>
        </w:rPr>
        <w:t xml:space="preserve">-dung; Kinder- und </w:t>
      </w:r>
      <w:proofErr w:type="spellStart"/>
      <w:r w:rsidRPr="00C31E51">
        <w:rPr>
          <w:rFonts w:ascii="Arial" w:hAnsi="Arial" w:cs="Arial"/>
          <w:b/>
          <w:sz w:val="20"/>
          <w:szCs w:val="20"/>
        </w:rPr>
        <w:t>Jugendlichenpsychotherapeuten</w:t>
      </w:r>
      <w:proofErr w:type="spellEnd"/>
      <w:r w:rsidRPr="00C31E51">
        <w:rPr>
          <w:rFonts w:ascii="Arial" w:hAnsi="Arial" w:cs="Arial"/>
          <w:b/>
          <w:sz w:val="20"/>
          <w:szCs w:val="20"/>
        </w:rPr>
        <w:t>; Sachbezug als Vergütung</w:t>
      </w:r>
    </w:p>
    <w:p w:rsidR="00C31E51" w:rsidRPr="00C31E51" w:rsidRDefault="00C31E51" w:rsidP="00E930BE">
      <w:pPr>
        <w:rPr>
          <w:rFonts w:ascii="Arial" w:eastAsia="Calibri" w:hAnsi="Arial" w:cs="Arial"/>
          <w:bCs/>
          <w:sz w:val="20"/>
          <w:szCs w:val="20"/>
          <w:u w:val="single"/>
          <w:lang w:eastAsia="de-DE"/>
        </w:rPr>
      </w:pPr>
    </w:p>
    <w:p w:rsidR="007405D9" w:rsidRPr="00C31E51" w:rsidRDefault="00C31E51" w:rsidP="00C31E51">
      <w:pPr>
        <w:jc w:val="both"/>
        <w:rPr>
          <w:rFonts w:ascii="Arial" w:eastAsia="Calibri" w:hAnsi="Arial" w:cs="Arial"/>
          <w:b/>
          <w:bCs/>
          <w:sz w:val="20"/>
          <w:szCs w:val="20"/>
          <w:u w:val="single"/>
          <w:lang w:eastAsia="de-DE"/>
        </w:rPr>
      </w:pPr>
      <w:r w:rsidRPr="00C31E51">
        <w:rPr>
          <w:rFonts w:ascii="Arial" w:eastAsia="Calibri" w:hAnsi="Arial" w:cs="Arial"/>
          <w:b/>
          <w:bCs/>
          <w:sz w:val="20"/>
          <w:szCs w:val="20"/>
          <w:u w:val="single"/>
          <w:lang w:eastAsia="de-DE"/>
        </w:rPr>
        <w:t>Leitsätze:</w:t>
      </w:r>
    </w:p>
    <w:p w:rsidR="00C31E51" w:rsidRDefault="00C31E51" w:rsidP="00C31E51">
      <w:pPr>
        <w:pStyle w:val="StandardWeb"/>
        <w:spacing w:before="0" w:beforeAutospacing="0" w:after="0" w:afterAutospacing="0"/>
        <w:jc w:val="both"/>
        <w:rPr>
          <w:rFonts w:ascii="Arial" w:hAnsi="Arial" w:cs="Arial"/>
          <w:sz w:val="20"/>
          <w:szCs w:val="20"/>
        </w:rPr>
      </w:pPr>
      <w:r w:rsidRPr="00C31E51">
        <w:rPr>
          <w:rFonts w:ascii="Arial" w:hAnsi="Arial" w:cs="Arial"/>
          <w:sz w:val="20"/>
          <w:szCs w:val="20"/>
        </w:rPr>
        <w:t>Ein einheitliches Arbeitsverhältnis zwischen einem Arbeitnehmer und mehreren Arbeitgebern liegt vor, wenn der Zusammenhang der arbeitsvertraglichen Beziehungen es verbietet, diese rechtlich getrennt zu behandeln.</w:t>
      </w:r>
    </w:p>
    <w:p w:rsidR="00C31E51" w:rsidRPr="00C31E51" w:rsidRDefault="00C31E51" w:rsidP="00C31E51">
      <w:pPr>
        <w:pStyle w:val="StandardWeb"/>
        <w:spacing w:before="0" w:beforeAutospacing="0" w:after="0" w:afterAutospacing="0"/>
        <w:jc w:val="both"/>
        <w:rPr>
          <w:rFonts w:ascii="Arial" w:hAnsi="Arial" w:cs="Arial"/>
          <w:sz w:val="20"/>
          <w:szCs w:val="20"/>
        </w:rPr>
      </w:pPr>
    </w:p>
    <w:p w:rsidR="00C31E51" w:rsidRDefault="00C31E51" w:rsidP="00C31E51">
      <w:pPr>
        <w:pStyle w:val="StandardWeb"/>
        <w:spacing w:before="0" w:beforeAutospacing="0" w:after="0" w:afterAutospacing="0"/>
        <w:jc w:val="both"/>
        <w:rPr>
          <w:rFonts w:ascii="Arial" w:hAnsi="Arial" w:cs="Arial"/>
          <w:sz w:val="20"/>
          <w:szCs w:val="20"/>
        </w:rPr>
      </w:pPr>
      <w:r w:rsidRPr="00C31E51">
        <w:rPr>
          <w:rFonts w:ascii="Arial" w:hAnsi="Arial" w:cs="Arial"/>
          <w:sz w:val="20"/>
          <w:szCs w:val="20"/>
        </w:rPr>
        <w:t xml:space="preserve">Bildet der eine Arbeitgeber als Ausbildungsakademie den Arbeitnehmer zum Kinder- und </w:t>
      </w:r>
      <w:proofErr w:type="spellStart"/>
      <w:r w:rsidRPr="00C31E51">
        <w:rPr>
          <w:rFonts w:ascii="Arial" w:hAnsi="Arial" w:cs="Arial"/>
          <w:sz w:val="20"/>
          <w:szCs w:val="20"/>
        </w:rPr>
        <w:t>Jugendlichenpsychotherapeuten</w:t>
      </w:r>
      <w:proofErr w:type="spellEnd"/>
      <w:r w:rsidRPr="00C31E51">
        <w:rPr>
          <w:rFonts w:ascii="Arial" w:hAnsi="Arial" w:cs="Arial"/>
          <w:sz w:val="20"/>
          <w:szCs w:val="20"/>
        </w:rPr>
        <w:t xml:space="preserve"> durch Gewährung der theoretischen Ausbildungsinhalte aus und erhält er zugleich dessen Arbeitsleistung, ohne sie zu vergüten, während der andere Arbeitgeber ein Vollzeitarbeitsverhältnis begründet, aus dem heraus diese Arbeitsleistung beim anderen Arbeitgeber vergütet und Freistellung zur Wahrnehmung der theoretischen Unterrichtsbestandteile gewährt wird, ist bei Vorliegen weiterer Umstände von einem konkludent geschlossenen einheitlichen Arbeitsverhältnis auszugehen.</w:t>
      </w:r>
    </w:p>
    <w:p w:rsidR="00C31E51" w:rsidRPr="00C31E51" w:rsidRDefault="00C31E51" w:rsidP="00C31E51">
      <w:pPr>
        <w:pStyle w:val="StandardWeb"/>
        <w:spacing w:before="0" w:beforeAutospacing="0" w:after="0" w:afterAutospacing="0"/>
        <w:jc w:val="both"/>
        <w:rPr>
          <w:rFonts w:ascii="Arial" w:hAnsi="Arial" w:cs="Arial"/>
          <w:sz w:val="20"/>
          <w:szCs w:val="20"/>
        </w:rPr>
      </w:pPr>
    </w:p>
    <w:p w:rsidR="00C31E51" w:rsidRPr="00C31E51" w:rsidRDefault="00C31E51" w:rsidP="00C31E51">
      <w:pPr>
        <w:pStyle w:val="StandardWeb"/>
        <w:spacing w:before="0" w:beforeAutospacing="0" w:after="0" w:afterAutospacing="0"/>
        <w:jc w:val="both"/>
        <w:rPr>
          <w:rFonts w:ascii="Arial" w:hAnsi="Arial" w:cs="Arial"/>
          <w:sz w:val="20"/>
          <w:szCs w:val="20"/>
        </w:rPr>
      </w:pPr>
      <w:r w:rsidRPr="00C31E51">
        <w:rPr>
          <w:rFonts w:ascii="Arial" w:hAnsi="Arial" w:cs="Arial"/>
          <w:sz w:val="20"/>
          <w:szCs w:val="20"/>
        </w:rPr>
        <w:t>Investiert der Arbeitgeber in eine Fortbildung des Arbeitnehmers, um bereits aus dem fortlaufenden Qualifikationsgewinn des Arbeitnehmers Einnahmen zu erzielen, die er ohne die laufende Qualifikation nicht hätte, ist dies eine Investition im betrieblichen Interesse, die bei unangemessenem Abwälzen der Risikoverteilung im Arbeitsleben auf den Arbeitnehmer zu einer unangemessenen Benachteiligung im Sinne des § 307 Abs. 1 BGB führt.</w:t>
      </w:r>
    </w:p>
    <w:p w:rsidR="007405D9" w:rsidRPr="00C31E51" w:rsidRDefault="007405D9" w:rsidP="00C31E51">
      <w:pPr>
        <w:jc w:val="both"/>
        <w:rPr>
          <w:rFonts w:ascii="Arial" w:eastAsia="Calibri" w:hAnsi="Arial" w:cs="Arial"/>
          <w:bCs/>
          <w:sz w:val="20"/>
          <w:szCs w:val="20"/>
          <w:lang w:eastAsia="de-DE"/>
        </w:rPr>
      </w:pPr>
    </w:p>
    <w:p w:rsidR="00C31E51" w:rsidRDefault="00C31E51" w:rsidP="00C31E51">
      <w:pPr>
        <w:pStyle w:val="StandardWeb"/>
        <w:spacing w:before="0" w:beforeAutospacing="0" w:after="0" w:afterAutospacing="0"/>
        <w:jc w:val="both"/>
        <w:rPr>
          <w:rFonts w:ascii="Arial" w:hAnsi="Arial" w:cs="Arial"/>
          <w:sz w:val="20"/>
          <w:szCs w:val="20"/>
        </w:rPr>
      </w:pPr>
      <w:r w:rsidRPr="00C31E51">
        <w:rPr>
          <w:rFonts w:ascii="Arial" w:hAnsi="Arial" w:cs="Arial"/>
          <w:sz w:val="20"/>
          <w:szCs w:val="20"/>
        </w:rPr>
        <w:t>Die Berufung der Klägerin gegen das Urteil des Arbeitsgerichts Münster vom 20.01.2026 - 4 Ca 850/25 - wird auf Kosten der Klägerin zurückgewiesen.</w:t>
      </w:r>
    </w:p>
    <w:p w:rsidR="00C31E51" w:rsidRPr="00C31E51" w:rsidRDefault="00C31E51" w:rsidP="00C31E51">
      <w:pPr>
        <w:pStyle w:val="StandardWeb"/>
        <w:spacing w:before="0" w:beforeAutospacing="0" w:after="0" w:afterAutospacing="0"/>
        <w:jc w:val="both"/>
        <w:rPr>
          <w:rFonts w:ascii="Arial" w:hAnsi="Arial" w:cs="Arial"/>
          <w:sz w:val="20"/>
          <w:szCs w:val="20"/>
        </w:rPr>
      </w:pPr>
    </w:p>
    <w:p w:rsidR="00C31E51" w:rsidRPr="00C31E51" w:rsidRDefault="00C31E51" w:rsidP="00C31E51">
      <w:pPr>
        <w:pStyle w:val="StandardWeb"/>
        <w:spacing w:before="0" w:beforeAutospacing="0" w:after="0" w:afterAutospacing="0"/>
        <w:jc w:val="both"/>
        <w:rPr>
          <w:rFonts w:ascii="Arial" w:hAnsi="Arial" w:cs="Arial"/>
          <w:sz w:val="20"/>
          <w:szCs w:val="20"/>
        </w:rPr>
      </w:pPr>
      <w:r w:rsidRPr="00C31E51">
        <w:rPr>
          <w:rFonts w:ascii="Arial" w:hAnsi="Arial" w:cs="Arial"/>
          <w:sz w:val="20"/>
          <w:szCs w:val="20"/>
        </w:rPr>
        <w:t>Die Revision wird zugelassen.</w:t>
      </w:r>
    </w:p>
    <w:p w:rsidR="00C31E51" w:rsidRPr="00C31E51" w:rsidRDefault="00C31E51" w:rsidP="00C31E51">
      <w:pPr>
        <w:jc w:val="both"/>
        <w:rPr>
          <w:rFonts w:ascii="Arial" w:eastAsia="Calibri" w:hAnsi="Arial" w:cs="Arial"/>
          <w:bCs/>
          <w:sz w:val="20"/>
          <w:szCs w:val="20"/>
          <w:lang w:eastAsia="de-DE"/>
        </w:rPr>
      </w:pPr>
    </w:p>
    <w:p w:rsidR="007405D9" w:rsidRPr="00C31E51" w:rsidRDefault="00C31E51" w:rsidP="00C31E51">
      <w:pPr>
        <w:jc w:val="both"/>
        <w:rPr>
          <w:rFonts w:ascii="Arial" w:eastAsia="Calibri" w:hAnsi="Arial" w:cs="Arial"/>
          <w:b/>
          <w:bCs/>
          <w:sz w:val="20"/>
          <w:szCs w:val="20"/>
          <w:u w:val="single"/>
          <w:lang w:eastAsia="de-DE"/>
        </w:rPr>
      </w:pPr>
      <w:r w:rsidRPr="00C31E51">
        <w:rPr>
          <w:rFonts w:ascii="Arial" w:eastAsia="Calibri" w:hAnsi="Arial" w:cs="Arial"/>
          <w:b/>
          <w:bCs/>
          <w:sz w:val="20"/>
          <w:szCs w:val="20"/>
          <w:u w:val="single"/>
          <w:lang w:eastAsia="de-DE"/>
        </w:rPr>
        <w:t>Siehe:</w:t>
      </w:r>
    </w:p>
    <w:p w:rsidR="00C31E51" w:rsidRPr="002C1186" w:rsidRDefault="00B15653" w:rsidP="00C31E51">
      <w:pPr>
        <w:pStyle w:val="StandardWeb"/>
        <w:spacing w:before="0" w:beforeAutospacing="0" w:after="0" w:afterAutospacing="0"/>
        <w:jc w:val="both"/>
        <w:rPr>
          <w:rFonts w:ascii="Arial" w:hAnsi="Arial" w:cs="Arial"/>
          <w:sz w:val="18"/>
          <w:szCs w:val="18"/>
        </w:rPr>
      </w:pPr>
      <w:hyperlink r:id="rId10" w:tgtFrame="_blank" w:history="1">
        <w:r w:rsidR="00C31E51" w:rsidRPr="002C1186">
          <w:rPr>
            <w:rStyle w:val="Hyperlink"/>
            <w:rFonts w:ascii="Arial" w:hAnsi="Arial" w:cs="Arial"/>
            <w:color w:val="auto"/>
            <w:sz w:val="18"/>
            <w:szCs w:val="18"/>
          </w:rPr>
          <w:t>https://nrwe.justiz.nrw.de/arbgs/hamm/lag_hamm/j2026/1_SLa_159_26_Urteil_20260828.html</w:t>
        </w:r>
      </w:hyperlink>
      <w:r w:rsidR="00C31E51" w:rsidRPr="002C1186">
        <w:rPr>
          <w:rFonts w:ascii="Arial" w:hAnsi="Arial" w:cs="Arial"/>
          <w:sz w:val="18"/>
          <w:szCs w:val="18"/>
        </w:rPr>
        <w:t> </w:t>
      </w:r>
    </w:p>
    <w:p w:rsidR="007405D9" w:rsidRDefault="007405D9" w:rsidP="00E930BE">
      <w:pPr>
        <w:rPr>
          <w:rFonts w:ascii="Arial" w:eastAsia="Calibri" w:hAnsi="Arial" w:cs="Arial"/>
          <w:bCs/>
          <w:sz w:val="20"/>
          <w:szCs w:val="20"/>
          <w:lang w:eastAsia="de-DE"/>
        </w:rPr>
      </w:pPr>
    </w:p>
    <w:p w:rsidR="007405D9" w:rsidRPr="00C31E51" w:rsidRDefault="00C31E51" w:rsidP="00710FC5">
      <w:pPr>
        <w:jc w:val="center"/>
        <w:rPr>
          <w:rFonts w:ascii="Arial" w:eastAsia="Calibri" w:hAnsi="Arial" w:cs="Arial"/>
          <w:b/>
          <w:bCs/>
          <w:lang w:eastAsia="de-DE"/>
        </w:rPr>
      </w:pPr>
      <w:r w:rsidRPr="00C31E51">
        <w:rPr>
          <w:rFonts w:ascii="Arial" w:eastAsia="Calibri" w:hAnsi="Arial" w:cs="Arial"/>
          <w:b/>
          <w:bCs/>
          <w:lang w:eastAsia="de-DE"/>
        </w:rPr>
        <w:t>IV.</w:t>
      </w:r>
    </w:p>
    <w:p w:rsidR="00C31E51" w:rsidRPr="00C31E51" w:rsidRDefault="00C31E51" w:rsidP="00710FC5">
      <w:pPr>
        <w:pStyle w:val="StandardWeb"/>
        <w:spacing w:before="0" w:beforeAutospacing="0" w:after="0" w:afterAutospacing="0"/>
        <w:jc w:val="center"/>
        <w:rPr>
          <w:rFonts w:ascii="Arial" w:hAnsi="Arial" w:cs="Arial"/>
          <w:b/>
          <w:sz w:val="22"/>
          <w:szCs w:val="22"/>
        </w:rPr>
      </w:pPr>
      <w:r w:rsidRPr="00C31E51">
        <w:rPr>
          <w:rFonts w:ascii="Arial" w:hAnsi="Arial" w:cs="Arial"/>
          <w:b/>
          <w:sz w:val="22"/>
          <w:szCs w:val="22"/>
        </w:rPr>
        <w:t>Landesarbeitsgericht Köln</w:t>
      </w:r>
    </w:p>
    <w:p w:rsidR="00C31E51" w:rsidRPr="00710FC5" w:rsidRDefault="00C31E51" w:rsidP="00710FC5">
      <w:pPr>
        <w:jc w:val="center"/>
        <w:rPr>
          <w:rFonts w:ascii="Arial" w:eastAsia="Calibri" w:hAnsi="Arial" w:cs="Arial"/>
          <w:bCs/>
          <w:lang w:eastAsia="de-DE"/>
        </w:rPr>
      </w:pPr>
      <w:r w:rsidRPr="00710FC5">
        <w:rPr>
          <w:rFonts w:ascii="Arial" w:eastAsia="Calibri" w:hAnsi="Arial" w:cs="Arial"/>
          <w:bCs/>
          <w:lang w:eastAsia="de-DE"/>
        </w:rPr>
        <w:t xml:space="preserve">Beschluss vom </w:t>
      </w:r>
      <w:r w:rsidRPr="00710FC5">
        <w:rPr>
          <w:rFonts w:ascii="Arial" w:hAnsi="Arial" w:cs="Arial"/>
        </w:rPr>
        <w:t xml:space="preserve">31.08.2026 - 9 </w:t>
      </w:r>
      <w:proofErr w:type="spellStart"/>
      <w:r w:rsidRPr="00710FC5">
        <w:rPr>
          <w:rFonts w:ascii="Arial" w:hAnsi="Arial" w:cs="Arial"/>
        </w:rPr>
        <w:t>TaBV</w:t>
      </w:r>
      <w:proofErr w:type="spellEnd"/>
      <w:r w:rsidRPr="00710FC5">
        <w:rPr>
          <w:rFonts w:ascii="Arial" w:hAnsi="Arial" w:cs="Arial"/>
        </w:rPr>
        <w:t xml:space="preserve"> 38/26</w:t>
      </w:r>
    </w:p>
    <w:p w:rsidR="007405D9" w:rsidRDefault="007405D9" w:rsidP="00E930BE">
      <w:pPr>
        <w:rPr>
          <w:rFonts w:ascii="Arial" w:eastAsia="Calibri" w:hAnsi="Arial" w:cs="Arial"/>
          <w:bCs/>
          <w:sz w:val="20"/>
          <w:szCs w:val="20"/>
          <w:lang w:eastAsia="de-DE"/>
        </w:rPr>
      </w:pPr>
    </w:p>
    <w:p w:rsidR="007405D9" w:rsidRPr="00710FC5" w:rsidRDefault="00710FC5" w:rsidP="00E930BE">
      <w:pPr>
        <w:rPr>
          <w:rFonts w:ascii="Arial" w:eastAsia="Calibri" w:hAnsi="Arial" w:cs="Arial"/>
          <w:b/>
          <w:bCs/>
          <w:sz w:val="20"/>
          <w:szCs w:val="20"/>
          <w:u w:val="single"/>
          <w:lang w:eastAsia="de-DE"/>
        </w:rPr>
      </w:pPr>
      <w:r w:rsidRPr="00710FC5">
        <w:rPr>
          <w:rFonts w:ascii="Arial" w:eastAsia="Calibri" w:hAnsi="Arial" w:cs="Arial"/>
          <w:b/>
          <w:bCs/>
          <w:sz w:val="20"/>
          <w:szCs w:val="20"/>
          <w:u w:val="single"/>
          <w:lang w:eastAsia="de-DE"/>
        </w:rPr>
        <w:t>Schlagworte/Normen:</w:t>
      </w:r>
    </w:p>
    <w:p w:rsidR="007405D9" w:rsidRPr="00710FC5" w:rsidRDefault="00710FC5" w:rsidP="00710FC5">
      <w:pPr>
        <w:jc w:val="both"/>
        <w:rPr>
          <w:rFonts w:ascii="Arial" w:eastAsia="Calibri" w:hAnsi="Arial" w:cs="Arial"/>
          <w:bCs/>
          <w:sz w:val="20"/>
          <w:szCs w:val="20"/>
          <w:lang w:eastAsia="de-DE"/>
        </w:rPr>
      </w:pPr>
      <w:r w:rsidRPr="00710FC5">
        <w:rPr>
          <w:rFonts w:ascii="Arial" w:hAnsi="Arial" w:cs="Arial"/>
          <w:sz w:val="20"/>
          <w:szCs w:val="20"/>
        </w:rPr>
        <w:t>Gerichtliches Einigungsstelleneinsetzungsverfahren - KI-bedingte Betriebsänderung - Regelungsauftrag der Einigungsstelle</w:t>
      </w:r>
    </w:p>
    <w:p w:rsidR="007405D9" w:rsidRPr="00710FC5" w:rsidRDefault="007405D9" w:rsidP="00710FC5">
      <w:pPr>
        <w:jc w:val="both"/>
        <w:rPr>
          <w:rFonts w:ascii="Arial" w:eastAsia="Calibri" w:hAnsi="Arial" w:cs="Arial"/>
          <w:bCs/>
          <w:sz w:val="20"/>
          <w:szCs w:val="20"/>
          <w:lang w:eastAsia="de-DE"/>
        </w:rPr>
      </w:pPr>
    </w:p>
    <w:p w:rsidR="007405D9" w:rsidRPr="00710FC5" w:rsidRDefault="00710FC5" w:rsidP="00710FC5">
      <w:pPr>
        <w:jc w:val="both"/>
        <w:rPr>
          <w:rFonts w:ascii="Arial" w:eastAsia="Calibri" w:hAnsi="Arial" w:cs="Arial"/>
          <w:b/>
          <w:bCs/>
          <w:sz w:val="20"/>
          <w:szCs w:val="20"/>
          <w:u w:val="single"/>
          <w:lang w:eastAsia="de-DE"/>
        </w:rPr>
      </w:pPr>
      <w:r w:rsidRPr="00710FC5">
        <w:rPr>
          <w:rFonts w:ascii="Arial" w:eastAsia="Calibri" w:hAnsi="Arial" w:cs="Arial"/>
          <w:b/>
          <w:bCs/>
          <w:sz w:val="20"/>
          <w:szCs w:val="20"/>
          <w:u w:val="single"/>
          <w:lang w:eastAsia="de-DE"/>
        </w:rPr>
        <w:t>Leitsätze:</w:t>
      </w:r>
    </w:p>
    <w:p w:rsidR="007405D9" w:rsidRPr="00710FC5" w:rsidRDefault="00710FC5" w:rsidP="00710FC5">
      <w:pPr>
        <w:jc w:val="both"/>
        <w:rPr>
          <w:rFonts w:ascii="Arial" w:eastAsia="Calibri" w:hAnsi="Arial" w:cs="Arial"/>
          <w:bCs/>
          <w:sz w:val="20"/>
          <w:szCs w:val="20"/>
          <w:lang w:eastAsia="de-DE"/>
        </w:rPr>
      </w:pPr>
      <w:r w:rsidRPr="00710FC5">
        <w:rPr>
          <w:rFonts w:ascii="Arial" w:hAnsi="Arial" w:cs="Arial"/>
          <w:sz w:val="20"/>
          <w:szCs w:val="20"/>
        </w:rPr>
        <w:t>Anlässlich einer KI-bedingten Betriebsänderung kann der Regelungsauftrag einer gerichtlich einzusetzenden Einigungsstelle zum Versuch eines Interessenausgleichs gegen den Willen eines Betriebspartners nicht zugleich auf die beabsichtigte Einführung und Anwendung des KI-Systems selbst erstreckt werden.</w:t>
      </w:r>
    </w:p>
    <w:p w:rsidR="007405D9" w:rsidRPr="00710FC5" w:rsidRDefault="007405D9" w:rsidP="00710FC5">
      <w:pPr>
        <w:jc w:val="both"/>
        <w:rPr>
          <w:rFonts w:ascii="Arial" w:eastAsia="Calibri" w:hAnsi="Arial" w:cs="Arial"/>
          <w:bCs/>
          <w:sz w:val="20"/>
          <w:szCs w:val="20"/>
          <w:lang w:eastAsia="de-DE"/>
        </w:rPr>
      </w:pPr>
    </w:p>
    <w:p w:rsidR="007405D9" w:rsidRPr="00710FC5" w:rsidRDefault="00710FC5" w:rsidP="00710FC5">
      <w:pPr>
        <w:jc w:val="both"/>
        <w:rPr>
          <w:rFonts w:ascii="Arial" w:eastAsia="Calibri" w:hAnsi="Arial" w:cs="Arial"/>
          <w:bCs/>
          <w:sz w:val="20"/>
          <w:szCs w:val="20"/>
          <w:lang w:eastAsia="de-DE"/>
        </w:rPr>
      </w:pPr>
      <w:r w:rsidRPr="00710FC5">
        <w:rPr>
          <w:rFonts w:ascii="Arial" w:hAnsi="Arial" w:cs="Arial"/>
          <w:sz w:val="20"/>
          <w:szCs w:val="20"/>
        </w:rPr>
        <w:t>Die Beschwerde des Betriebsrats gegen den Beschluss des Arbeitsgerichts Köln vom 14.07.2026 - 10 BV 94/26 - wird zurückgewiesen.</w:t>
      </w:r>
    </w:p>
    <w:p w:rsidR="007405D9" w:rsidRPr="00710FC5" w:rsidRDefault="007405D9" w:rsidP="00710FC5">
      <w:pPr>
        <w:jc w:val="both"/>
        <w:rPr>
          <w:rFonts w:ascii="Arial" w:eastAsia="Calibri" w:hAnsi="Arial" w:cs="Arial"/>
          <w:bCs/>
          <w:sz w:val="20"/>
          <w:szCs w:val="20"/>
          <w:lang w:eastAsia="de-DE"/>
        </w:rPr>
      </w:pPr>
    </w:p>
    <w:p w:rsidR="007405D9" w:rsidRPr="00710FC5" w:rsidRDefault="00710FC5" w:rsidP="00710FC5">
      <w:pPr>
        <w:jc w:val="both"/>
        <w:rPr>
          <w:rFonts w:ascii="Arial" w:eastAsia="Calibri" w:hAnsi="Arial" w:cs="Arial"/>
          <w:b/>
          <w:bCs/>
          <w:sz w:val="18"/>
          <w:szCs w:val="18"/>
          <w:u w:val="single"/>
          <w:lang w:eastAsia="de-DE"/>
        </w:rPr>
      </w:pPr>
      <w:r w:rsidRPr="00710FC5">
        <w:rPr>
          <w:rFonts w:ascii="Arial" w:eastAsia="Calibri" w:hAnsi="Arial" w:cs="Arial"/>
          <w:b/>
          <w:bCs/>
          <w:sz w:val="18"/>
          <w:szCs w:val="18"/>
          <w:u w:val="single"/>
          <w:lang w:eastAsia="de-DE"/>
        </w:rPr>
        <w:t>Siehe:</w:t>
      </w:r>
    </w:p>
    <w:p w:rsidR="00710FC5" w:rsidRPr="002C1186" w:rsidRDefault="00B15653" w:rsidP="00710FC5">
      <w:pPr>
        <w:pStyle w:val="StandardWeb"/>
        <w:spacing w:before="0" w:beforeAutospacing="0" w:after="0" w:afterAutospacing="0"/>
        <w:jc w:val="both"/>
        <w:rPr>
          <w:rFonts w:ascii="Arial" w:hAnsi="Arial" w:cs="Arial"/>
          <w:sz w:val="18"/>
          <w:szCs w:val="18"/>
        </w:rPr>
      </w:pPr>
      <w:hyperlink r:id="rId11" w:tgtFrame="_blank" w:history="1">
        <w:r w:rsidR="00710FC5" w:rsidRPr="002C1186">
          <w:rPr>
            <w:rStyle w:val="Hyperlink"/>
            <w:rFonts w:ascii="Arial" w:hAnsi="Arial" w:cs="Arial"/>
            <w:color w:val="auto"/>
            <w:sz w:val="18"/>
            <w:szCs w:val="18"/>
          </w:rPr>
          <w:t>https://nrwe.justiz.nrw.de/arbgs/koeln/lag_koeln/j2026/9_TaBV_38_26_Beschluss_20260831.html</w:t>
        </w:r>
      </w:hyperlink>
      <w:r w:rsidR="00710FC5" w:rsidRPr="002C1186">
        <w:rPr>
          <w:rFonts w:ascii="Arial" w:hAnsi="Arial" w:cs="Arial"/>
          <w:sz w:val="18"/>
          <w:szCs w:val="18"/>
        </w:rPr>
        <w:t xml:space="preserve"> </w:t>
      </w:r>
    </w:p>
    <w:p w:rsidR="007405D9" w:rsidRDefault="007405D9" w:rsidP="00E930BE">
      <w:pPr>
        <w:rPr>
          <w:rFonts w:ascii="Arial" w:eastAsia="Calibri" w:hAnsi="Arial" w:cs="Arial"/>
          <w:bCs/>
          <w:sz w:val="20"/>
          <w:szCs w:val="20"/>
          <w:lang w:eastAsia="de-DE"/>
        </w:rPr>
      </w:pPr>
    </w:p>
    <w:p w:rsidR="007405D9" w:rsidRPr="00710FC5" w:rsidRDefault="00710FC5" w:rsidP="00710FC5">
      <w:pPr>
        <w:jc w:val="center"/>
        <w:rPr>
          <w:rFonts w:ascii="Arial" w:eastAsia="Calibri" w:hAnsi="Arial" w:cs="Arial"/>
          <w:b/>
          <w:bCs/>
          <w:lang w:eastAsia="de-DE"/>
        </w:rPr>
      </w:pPr>
      <w:r w:rsidRPr="00710FC5">
        <w:rPr>
          <w:rFonts w:ascii="Arial" w:eastAsia="Calibri" w:hAnsi="Arial" w:cs="Arial"/>
          <w:b/>
          <w:bCs/>
          <w:lang w:eastAsia="de-DE"/>
        </w:rPr>
        <w:t>V.</w:t>
      </w:r>
    </w:p>
    <w:p w:rsidR="00710FC5" w:rsidRPr="00710FC5" w:rsidRDefault="00710FC5" w:rsidP="00710FC5">
      <w:pPr>
        <w:pStyle w:val="StandardWeb"/>
        <w:spacing w:before="0" w:beforeAutospacing="0" w:after="0" w:afterAutospacing="0"/>
        <w:jc w:val="center"/>
        <w:rPr>
          <w:rFonts w:ascii="Arial" w:hAnsi="Arial" w:cs="Arial"/>
          <w:b/>
          <w:sz w:val="22"/>
          <w:szCs w:val="22"/>
        </w:rPr>
      </w:pPr>
      <w:r w:rsidRPr="00710FC5">
        <w:rPr>
          <w:rFonts w:ascii="Arial" w:hAnsi="Arial" w:cs="Arial"/>
          <w:b/>
          <w:sz w:val="22"/>
          <w:szCs w:val="22"/>
        </w:rPr>
        <w:t>Landesarbeitsgericht Hamm</w:t>
      </w:r>
    </w:p>
    <w:p w:rsidR="00710FC5" w:rsidRPr="00710FC5" w:rsidRDefault="00710FC5" w:rsidP="00710FC5">
      <w:pPr>
        <w:jc w:val="center"/>
        <w:rPr>
          <w:rFonts w:ascii="Arial" w:eastAsia="Calibri" w:hAnsi="Arial" w:cs="Arial"/>
          <w:bCs/>
          <w:lang w:eastAsia="de-DE"/>
        </w:rPr>
      </w:pPr>
      <w:r w:rsidRPr="00710FC5">
        <w:rPr>
          <w:rFonts w:ascii="Arial" w:eastAsia="Calibri" w:hAnsi="Arial" w:cs="Arial"/>
          <w:bCs/>
          <w:lang w:eastAsia="de-DE"/>
        </w:rPr>
        <w:t xml:space="preserve">Beschluss vom 17.09.2026 - </w:t>
      </w:r>
      <w:r w:rsidRPr="00710FC5">
        <w:rPr>
          <w:rFonts w:ascii="Arial" w:hAnsi="Arial" w:cs="Arial"/>
        </w:rPr>
        <w:t>9 Ta 209/26</w:t>
      </w:r>
    </w:p>
    <w:p w:rsidR="00710FC5" w:rsidRDefault="00710FC5" w:rsidP="00E930BE">
      <w:pPr>
        <w:rPr>
          <w:rFonts w:ascii="Arial" w:eastAsia="Calibri" w:hAnsi="Arial" w:cs="Arial"/>
          <w:bCs/>
          <w:sz w:val="20"/>
          <w:szCs w:val="20"/>
          <w:lang w:eastAsia="de-DE"/>
        </w:rPr>
      </w:pPr>
    </w:p>
    <w:p w:rsidR="00710FC5" w:rsidRPr="00710FC5" w:rsidRDefault="00710FC5" w:rsidP="00E930BE">
      <w:pPr>
        <w:rPr>
          <w:rFonts w:ascii="Arial" w:eastAsia="Calibri" w:hAnsi="Arial" w:cs="Arial"/>
          <w:b/>
          <w:bCs/>
          <w:sz w:val="20"/>
          <w:szCs w:val="20"/>
          <w:u w:val="single"/>
          <w:lang w:eastAsia="de-DE"/>
        </w:rPr>
      </w:pPr>
      <w:r w:rsidRPr="00710FC5">
        <w:rPr>
          <w:rFonts w:ascii="Arial" w:eastAsia="Calibri" w:hAnsi="Arial" w:cs="Arial"/>
          <w:b/>
          <w:bCs/>
          <w:sz w:val="20"/>
          <w:szCs w:val="20"/>
          <w:u w:val="single"/>
          <w:lang w:eastAsia="de-DE"/>
        </w:rPr>
        <w:t>Schlagworte/Normen:</w:t>
      </w:r>
    </w:p>
    <w:p w:rsidR="00710FC5" w:rsidRPr="00710FC5" w:rsidRDefault="00710FC5" w:rsidP="00E930BE">
      <w:pPr>
        <w:rPr>
          <w:rFonts w:ascii="Arial" w:eastAsia="Calibri" w:hAnsi="Arial" w:cs="Arial"/>
          <w:b/>
          <w:bCs/>
          <w:sz w:val="20"/>
          <w:szCs w:val="20"/>
          <w:lang w:eastAsia="de-DE"/>
        </w:rPr>
      </w:pPr>
      <w:r w:rsidRPr="00710FC5">
        <w:rPr>
          <w:rFonts w:ascii="Arial" w:hAnsi="Arial" w:cs="Arial"/>
          <w:b/>
          <w:sz w:val="20"/>
          <w:szCs w:val="20"/>
        </w:rPr>
        <w:t>Qualifiziertes Zeugnis, Vorschlagsrecht, Zwangsvollstreckung, Vollstreckbarkeit, Abgrenzung Erkenntnisverfahren und Zwangsvollstreckungsverfahren</w:t>
      </w:r>
    </w:p>
    <w:p w:rsidR="00710FC5" w:rsidRDefault="00710FC5" w:rsidP="00E930BE">
      <w:pPr>
        <w:rPr>
          <w:rFonts w:ascii="Arial" w:eastAsia="Calibri" w:hAnsi="Arial" w:cs="Arial"/>
          <w:bCs/>
          <w:sz w:val="20"/>
          <w:szCs w:val="20"/>
          <w:lang w:eastAsia="de-DE"/>
        </w:rPr>
      </w:pPr>
    </w:p>
    <w:p w:rsidR="00710FC5" w:rsidRPr="00432A44" w:rsidRDefault="00432A44" w:rsidP="00E930BE">
      <w:pPr>
        <w:rPr>
          <w:rFonts w:ascii="Arial" w:eastAsia="Calibri" w:hAnsi="Arial" w:cs="Arial"/>
          <w:b/>
          <w:bCs/>
          <w:sz w:val="20"/>
          <w:szCs w:val="20"/>
          <w:u w:val="single"/>
          <w:lang w:eastAsia="de-DE"/>
        </w:rPr>
      </w:pPr>
      <w:r w:rsidRPr="00432A44">
        <w:rPr>
          <w:rFonts w:ascii="Arial" w:hAnsi="Arial" w:cs="Arial"/>
          <w:b/>
          <w:sz w:val="20"/>
          <w:szCs w:val="20"/>
          <w:u w:val="single"/>
        </w:rPr>
        <w:t>Leitsätze:</w:t>
      </w:r>
    </w:p>
    <w:p w:rsidR="00432A44" w:rsidRPr="00432A44" w:rsidRDefault="00432A44" w:rsidP="00432A44">
      <w:pPr>
        <w:pStyle w:val="StandardWeb"/>
        <w:spacing w:before="0" w:beforeAutospacing="0" w:after="0" w:afterAutospacing="0"/>
        <w:jc w:val="both"/>
        <w:rPr>
          <w:rFonts w:ascii="Arial" w:hAnsi="Arial" w:cs="Arial"/>
          <w:sz w:val="20"/>
          <w:szCs w:val="20"/>
        </w:rPr>
      </w:pPr>
    </w:p>
    <w:p w:rsidR="00432A44" w:rsidRDefault="00432A44" w:rsidP="00432A44">
      <w:pPr>
        <w:pStyle w:val="StandardWeb"/>
        <w:spacing w:before="0" w:beforeAutospacing="0" w:after="0" w:afterAutospacing="0"/>
        <w:jc w:val="both"/>
        <w:rPr>
          <w:rFonts w:ascii="Arial" w:hAnsi="Arial" w:cs="Arial"/>
          <w:sz w:val="20"/>
          <w:szCs w:val="20"/>
        </w:rPr>
      </w:pPr>
      <w:r w:rsidRPr="00432A44">
        <w:rPr>
          <w:rFonts w:ascii="Arial" w:hAnsi="Arial" w:cs="Arial"/>
          <w:sz w:val="20"/>
          <w:szCs w:val="20"/>
        </w:rPr>
        <w:t>1. Werden durch den Arbeitgeber im Zwangsvollstreckungsverfahren Umstände nachvollziehbar vorgetragen, die ergeben, dass das vom Arbeitnehmer verlangte Zeugnis nicht der Wahrheit (Grundsatz der Zeugniswahrheit) entspricht und gelangt das Gericht danach zur Auffassung, dass ein Arbeitgeber unter Berücksichtigung der vorgetragenen Umstände mit dem durch ihn erteilten Zeugnis einen titulierten Anspruch erfüllt hat, ist ein Zwangsgeldantrag zurückzuweisen.</w:t>
      </w:r>
    </w:p>
    <w:p w:rsidR="00432A44" w:rsidRPr="00432A44" w:rsidRDefault="00432A44" w:rsidP="00432A44">
      <w:pPr>
        <w:pStyle w:val="StandardWeb"/>
        <w:spacing w:before="0" w:beforeAutospacing="0" w:after="0" w:afterAutospacing="0"/>
        <w:jc w:val="both"/>
        <w:rPr>
          <w:rFonts w:ascii="Arial" w:hAnsi="Arial" w:cs="Arial"/>
          <w:sz w:val="20"/>
          <w:szCs w:val="20"/>
        </w:rPr>
      </w:pPr>
    </w:p>
    <w:p w:rsidR="00432A44" w:rsidRDefault="00432A44" w:rsidP="00432A44">
      <w:pPr>
        <w:pStyle w:val="StandardWeb"/>
        <w:spacing w:before="0" w:beforeAutospacing="0" w:after="0" w:afterAutospacing="0"/>
        <w:jc w:val="both"/>
        <w:rPr>
          <w:rFonts w:ascii="Arial" w:hAnsi="Arial" w:cs="Arial"/>
          <w:sz w:val="20"/>
          <w:szCs w:val="20"/>
        </w:rPr>
      </w:pPr>
      <w:r w:rsidRPr="00432A44">
        <w:rPr>
          <w:rFonts w:ascii="Arial" w:hAnsi="Arial" w:cs="Arial"/>
          <w:sz w:val="20"/>
          <w:szCs w:val="20"/>
        </w:rPr>
        <w:t>Dem Gläubiger bleibt dann nur die Möglichkeit, eine Zeugnisberichtigung im Wege eines neuen Erkenntnisverfahrens zu verlangen.</w:t>
      </w:r>
    </w:p>
    <w:p w:rsidR="00432A44" w:rsidRPr="00432A44" w:rsidRDefault="00432A44" w:rsidP="00432A44">
      <w:pPr>
        <w:pStyle w:val="StandardWeb"/>
        <w:spacing w:before="0" w:beforeAutospacing="0" w:after="0" w:afterAutospacing="0"/>
        <w:jc w:val="both"/>
        <w:rPr>
          <w:rFonts w:ascii="Arial" w:hAnsi="Arial" w:cs="Arial"/>
          <w:sz w:val="20"/>
          <w:szCs w:val="20"/>
        </w:rPr>
      </w:pPr>
    </w:p>
    <w:p w:rsidR="00432A44" w:rsidRPr="00432A44" w:rsidRDefault="00432A44" w:rsidP="00432A44">
      <w:pPr>
        <w:pStyle w:val="StandardWeb"/>
        <w:spacing w:before="0" w:beforeAutospacing="0" w:after="0" w:afterAutospacing="0"/>
        <w:jc w:val="both"/>
        <w:rPr>
          <w:rFonts w:ascii="Arial" w:hAnsi="Arial" w:cs="Arial"/>
          <w:sz w:val="20"/>
          <w:szCs w:val="20"/>
        </w:rPr>
      </w:pPr>
      <w:r w:rsidRPr="00432A44">
        <w:rPr>
          <w:rFonts w:ascii="Arial" w:hAnsi="Arial" w:cs="Arial"/>
          <w:sz w:val="20"/>
          <w:szCs w:val="20"/>
        </w:rPr>
        <w:t>2</w:t>
      </w:r>
      <w:r>
        <w:rPr>
          <w:rFonts w:ascii="Arial" w:hAnsi="Arial" w:cs="Arial"/>
          <w:sz w:val="20"/>
          <w:szCs w:val="20"/>
        </w:rPr>
        <w:t xml:space="preserve"> </w:t>
      </w:r>
      <w:r w:rsidRPr="00432A44">
        <w:rPr>
          <w:rFonts w:ascii="Arial" w:hAnsi="Arial" w:cs="Arial"/>
          <w:sz w:val="20"/>
          <w:szCs w:val="20"/>
        </w:rPr>
        <w:t>Verwendet der Arbeitgeber im erteilten qualifizierten Zeugnis bei einem männlichen Arbeitnehmer – bewusst oder unbewusst – vereinzelt, aber wiederholt die weibliche Form, besteht Anlass zur Vermutung, der Arbeitgeber wolle sich vom Arbeitnehmer sowie dessen Leistung und Verhalten distanzieren. Dies muss der Arbeitnehmer nicht hinnehmen.</w:t>
      </w:r>
    </w:p>
    <w:p w:rsidR="00710FC5" w:rsidRPr="00432A44" w:rsidRDefault="00710FC5" w:rsidP="00432A44">
      <w:pPr>
        <w:jc w:val="both"/>
        <w:rPr>
          <w:rFonts w:ascii="Arial" w:eastAsia="Calibri" w:hAnsi="Arial" w:cs="Arial"/>
          <w:bCs/>
          <w:sz w:val="20"/>
          <w:szCs w:val="20"/>
          <w:lang w:eastAsia="de-DE"/>
        </w:rPr>
      </w:pPr>
    </w:p>
    <w:p w:rsidR="00432A44" w:rsidRDefault="00432A44" w:rsidP="00432A44">
      <w:pPr>
        <w:jc w:val="both"/>
        <w:rPr>
          <w:rFonts w:ascii="Arial" w:eastAsia="Times New Roman" w:hAnsi="Arial" w:cs="Arial"/>
          <w:sz w:val="20"/>
          <w:szCs w:val="20"/>
          <w:lang w:eastAsia="de-DE"/>
        </w:rPr>
      </w:pPr>
      <w:r w:rsidRPr="00432A44">
        <w:rPr>
          <w:rFonts w:ascii="Arial" w:eastAsia="Times New Roman" w:hAnsi="Arial" w:cs="Arial"/>
          <w:sz w:val="20"/>
          <w:szCs w:val="20"/>
          <w:lang w:eastAsia="de-DE"/>
        </w:rPr>
        <w:t>Die sofortige Beschwerde der Schuldnerin gegen den Beschluss des Arbeitsgerichts Iserlohn vom 6. August 2026 - 1 Ca 1796/25 - wird auf ihre Kosten zurückgewiesen.</w:t>
      </w:r>
    </w:p>
    <w:p w:rsidR="00432A44" w:rsidRPr="00432A44" w:rsidRDefault="00432A44" w:rsidP="00432A44">
      <w:pPr>
        <w:jc w:val="both"/>
        <w:rPr>
          <w:rFonts w:ascii="Arial" w:eastAsia="Times New Roman" w:hAnsi="Arial" w:cs="Arial"/>
          <w:sz w:val="20"/>
          <w:szCs w:val="20"/>
          <w:lang w:eastAsia="de-DE"/>
        </w:rPr>
      </w:pPr>
    </w:p>
    <w:p w:rsidR="00432A44" w:rsidRPr="00432A44" w:rsidRDefault="00432A44" w:rsidP="00432A44">
      <w:pPr>
        <w:jc w:val="both"/>
        <w:rPr>
          <w:rFonts w:ascii="Arial" w:eastAsia="Times New Roman" w:hAnsi="Arial" w:cs="Arial"/>
          <w:sz w:val="20"/>
          <w:szCs w:val="20"/>
          <w:lang w:eastAsia="de-DE"/>
        </w:rPr>
      </w:pPr>
      <w:r w:rsidRPr="00432A44">
        <w:rPr>
          <w:rFonts w:ascii="Arial" w:eastAsia="Times New Roman" w:hAnsi="Arial" w:cs="Arial"/>
          <w:sz w:val="20"/>
          <w:szCs w:val="20"/>
          <w:lang w:eastAsia="de-DE"/>
        </w:rPr>
        <w:t>Die Rechtsbeschwerde wird nicht zugelassen.</w:t>
      </w:r>
    </w:p>
    <w:p w:rsidR="00432A44" w:rsidRPr="00432A44" w:rsidRDefault="00432A44" w:rsidP="00432A44">
      <w:pPr>
        <w:jc w:val="both"/>
        <w:rPr>
          <w:rFonts w:ascii="Arial" w:eastAsia="Times New Roman" w:hAnsi="Arial" w:cs="Arial"/>
          <w:sz w:val="20"/>
          <w:szCs w:val="20"/>
          <w:lang w:eastAsia="de-DE"/>
        </w:rPr>
      </w:pPr>
    </w:p>
    <w:p w:rsidR="00710FC5" w:rsidRPr="00432A44" w:rsidRDefault="00432A44" w:rsidP="00432A44">
      <w:pPr>
        <w:jc w:val="both"/>
        <w:rPr>
          <w:rFonts w:ascii="Arial" w:eastAsia="Calibri" w:hAnsi="Arial" w:cs="Arial"/>
          <w:b/>
          <w:bCs/>
          <w:sz w:val="20"/>
          <w:szCs w:val="20"/>
          <w:u w:val="single"/>
          <w:lang w:eastAsia="de-DE"/>
        </w:rPr>
      </w:pPr>
      <w:r w:rsidRPr="00432A44">
        <w:rPr>
          <w:rFonts w:ascii="Arial" w:eastAsia="Calibri" w:hAnsi="Arial" w:cs="Arial"/>
          <w:b/>
          <w:bCs/>
          <w:sz w:val="20"/>
          <w:szCs w:val="20"/>
          <w:u w:val="single"/>
          <w:lang w:eastAsia="de-DE"/>
        </w:rPr>
        <w:t>Siehe:</w:t>
      </w:r>
    </w:p>
    <w:p w:rsidR="00432A44" w:rsidRPr="002C1186" w:rsidRDefault="00B15653" w:rsidP="00432A44">
      <w:pPr>
        <w:pStyle w:val="StandardWeb"/>
        <w:spacing w:before="0" w:beforeAutospacing="0" w:after="0" w:afterAutospacing="0"/>
        <w:jc w:val="both"/>
        <w:rPr>
          <w:rFonts w:ascii="Arial" w:hAnsi="Arial" w:cs="Arial"/>
          <w:sz w:val="18"/>
          <w:szCs w:val="18"/>
        </w:rPr>
      </w:pPr>
      <w:hyperlink r:id="rId12" w:tgtFrame="_blank" w:history="1">
        <w:r w:rsidR="00432A44" w:rsidRPr="002C1186">
          <w:rPr>
            <w:rStyle w:val="Hyperlink"/>
            <w:rFonts w:ascii="Arial" w:hAnsi="Arial" w:cs="Arial"/>
            <w:color w:val="auto"/>
            <w:sz w:val="18"/>
            <w:szCs w:val="18"/>
          </w:rPr>
          <w:t>https://nrwe.justiz.nrw.de/arbgs/hamm/lag_hamm/j2026/9_Ta_209_26_Beschluss_20260917.html</w:t>
        </w:r>
      </w:hyperlink>
      <w:r w:rsidR="00432A44" w:rsidRPr="002C1186">
        <w:rPr>
          <w:rFonts w:ascii="Arial" w:hAnsi="Arial" w:cs="Arial"/>
          <w:sz w:val="18"/>
          <w:szCs w:val="18"/>
        </w:rPr>
        <w:t xml:space="preserve"> </w:t>
      </w:r>
    </w:p>
    <w:p w:rsidR="00710FC5" w:rsidRDefault="00710FC5" w:rsidP="00E930BE">
      <w:pPr>
        <w:rPr>
          <w:rFonts w:ascii="Arial" w:eastAsia="Calibri" w:hAnsi="Arial" w:cs="Arial"/>
          <w:bCs/>
          <w:sz w:val="20"/>
          <w:szCs w:val="20"/>
          <w:lang w:eastAsia="de-DE"/>
        </w:rPr>
      </w:pPr>
    </w:p>
    <w:p w:rsidR="00710FC5" w:rsidRPr="00602C12" w:rsidRDefault="00432A44" w:rsidP="00602C12">
      <w:pPr>
        <w:jc w:val="center"/>
        <w:rPr>
          <w:rFonts w:ascii="Arial" w:eastAsia="Calibri" w:hAnsi="Arial" w:cs="Arial"/>
          <w:b/>
          <w:bCs/>
          <w:lang w:eastAsia="de-DE"/>
        </w:rPr>
      </w:pPr>
      <w:r w:rsidRPr="00602C12">
        <w:rPr>
          <w:rFonts w:ascii="Arial" w:eastAsia="Calibri" w:hAnsi="Arial" w:cs="Arial"/>
          <w:b/>
          <w:bCs/>
          <w:lang w:eastAsia="de-DE"/>
        </w:rPr>
        <w:t>VI.</w:t>
      </w:r>
    </w:p>
    <w:p w:rsidR="00432A44" w:rsidRPr="00602C12" w:rsidRDefault="00432A44" w:rsidP="00602C12">
      <w:pPr>
        <w:pStyle w:val="StandardWeb"/>
        <w:spacing w:before="0" w:beforeAutospacing="0" w:after="0" w:afterAutospacing="0"/>
        <w:jc w:val="center"/>
        <w:rPr>
          <w:rFonts w:ascii="Arial" w:hAnsi="Arial" w:cs="Arial"/>
          <w:b/>
          <w:sz w:val="22"/>
          <w:szCs w:val="22"/>
        </w:rPr>
      </w:pPr>
      <w:r w:rsidRPr="00602C12">
        <w:rPr>
          <w:rFonts w:ascii="Arial" w:hAnsi="Arial" w:cs="Arial"/>
          <w:b/>
          <w:sz w:val="22"/>
          <w:szCs w:val="22"/>
        </w:rPr>
        <w:t>Landesarbeitsgericht Hamm</w:t>
      </w:r>
    </w:p>
    <w:p w:rsidR="00432A44" w:rsidRPr="00602C12" w:rsidRDefault="00432A44" w:rsidP="00602C12">
      <w:pPr>
        <w:jc w:val="center"/>
        <w:rPr>
          <w:rFonts w:ascii="Arial" w:eastAsia="Calibri" w:hAnsi="Arial" w:cs="Arial"/>
          <w:bCs/>
          <w:lang w:eastAsia="de-DE"/>
        </w:rPr>
      </w:pPr>
      <w:r w:rsidRPr="00602C12">
        <w:rPr>
          <w:rFonts w:ascii="Arial" w:eastAsia="Calibri" w:hAnsi="Arial" w:cs="Arial"/>
          <w:bCs/>
          <w:lang w:eastAsia="de-DE"/>
        </w:rPr>
        <w:t>Urteil vom 06.08.2026</w:t>
      </w:r>
      <w:r w:rsidR="00602C12" w:rsidRPr="00602C12">
        <w:rPr>
          <w:rFonts w:ascii="Arial" w:eastAsia="Calibri" w:hAnsi="Arial" w:cs="Arial"/>
          <w:bCs/>
          <w:lang w:eastAsia="de-DE"/>
        </w:rPr>
        <w:t xml:space="preserve"> - </w:t>
      </w:r>
      <w:r w:rsidR="00602C12" w:rsidRPr="00602C12">
        <w:rPr>
          <w:rFonts w:ascii="Arial" w:hAnsi="Arial" w:cs="Arial"/>
        </w:rPr>
        <w:t xml:space="preserve">18 </w:t>
      </w:r>
      <w:proofErr w:type="spellStart"/>
      <w:r w:rsidR="00602C12" w:rsidRPr="00602C12">
        <w:rPr>
          <w:rFonts w:ascii="Arial" w:hAnsi="Arial" w:cs="Arial"/>
        </w:rPr>
        <w:t>SLa</w:t>
      </w:r>
      <w:proofErr w:type="spellEnd"/>
      <w:r w:rsidR="00602C12" w:rsidRPr="00602C12">
        <w:rPr>
          <w:rFonts w:ascii="Arial" w:hAnsi="Arial" w:cs="Arial"/>
        </w:rPr>
        <w:t xml:space="preserve"> 24/26</w:t>
      </w:r>
    </w:p>
    <w:p w:rsidR="00432A44" w:rsidRDefault="00432A44" w:rsidP="00E930BE">
      <w:pPr>
        <w:rPr>
          <w:rFonts w:ascii="Arial" w:eastAsia="Calibri" w:hAnsi="Arial" w:cs="Arial"/>
          <w:bCs/>
          <w:sz w:val="20"/>
          <w:szCs w:val="20"/>
          <w:lang w:eastAsia="de-DE"/>
        </w:rPr>
      </w:pPr>
    </w:p>
    <w:p w:rsidR="00432A44" w:rsidRPr="00602C12" w:rsidRDefault="00602C12" w:rsidP="004B2ACC">
      <w:pPr>
        <w:jc w:val="both"/>
        <w:rPr>
          <w:rFonts w:ascii="Arial" w:eastAsia="Calibri" w:hAnsi="Arial" w:cs="Arial"/>
          <w:b/>
          <w:bCs/>
          <w:sz w:val="20"/>
          <w:szCs w:val="20"/>
          <w:u w:val="single"/>
          <w:lang w:eastAsia="de-DE"/>
        </w:rPr>
      </w:pPr>
      <w:r w:rsidRPr="00602C12">
        <w:rPr>
          <w:rFonts w:ascii="Arial" w:eastAsia="Calibri" w:hAnsi="Arial" w:cs="Arial"/>
          <w:b/>
          <w:bCs/>
          <w:sz w:val="20"/>
          <w:szCs w:val="20"/>
          <w:u w:val="single"/>
          <w:lang w:eastAsia="de-DE"/>
        </w:rPr>
        <w:t>Schlagworte/Normen</w:t>
      </w:r>
      <w:r>
        <w:rPr>
          <w:rFonts w:ascii="Arial" w:eastAsia="Calibri" w:hAnsi="Arial" w:cs="Arial"/>
          <w:b/>
          <w:bCs/>
          <w:sz w:val="20"/>
          <w:szCs w:val="20"/>
          <w:u w:val="single"/>
          <w:lang w:eastAsia="de-DE"/>
        </w:rPr>
        <w:t>:</w:t>
      </w:r>
    </w:p>
    <w:p w:rsidR="00432A44" w:rsidRPr="00602C12" w:rsidRDefault="00602C12" w:rsidP="004B2ACC">
      <w:pPr>
        <w:jc w:val="both"/>
        <w:rPr>
          <w:rFonts w:ascii="Arial" w:eastAsia="Calibri" w:hAnsi="Arial" w:cs="Arial"/>
          <w:b/>
          <w:bCs/>
          <w:sz w:val="20"/>
          <w:szCs w:val="20"/>
          <w:lang w:eastAsia="de-DE"/>
        </w:rPr>
      </w:pPr>
      <w:r w:rsidRPr="00602C12">
        <w:rPr>
          <w:rFonts w:ascii="Arial" w:hAnsi="Arial" w:cs="Arial"/>
          <w:b/>
          <w:sz w:val="20"/>
          <w:szCs w:val="20"/>
        </w:rPr>
        <w:t>Angebot und Zumutbarkeit einer Prozessbeschäftigung bei dem bisherigen Arbeit-geber</w:t>
      </w:r>
    </w:p>
    <w:p w:rsidR="00432A44" w:rsidRDefault="00432A44" w:rsidP="004B2ACC">
      <w:pPr>
        <w:jc w:val="both"/>
        <w:rPr>
          <w:rFonts w:ascii="Arial" w:eastAsia="Calibri" w:hAnsi="Arial" w:cs="Arial"/>
          <w:bCs/>
          <w:sz w:val="20"/>
          <w:szCs w:val="20"/>
          <w:lang w:eastAsia="de-DE"/>
        </w:rPr>
      </w:pPr>
    </w:p>
    <w:p w:rsidR="00432A44" w:rsidRPr="004B2ACC" w:rsidRDefault="00602C12" w:rsidP="004B2ACC">
      <w:pPr>
        <w:jc w:val="both"/>
        <w:rPr>
          <w:rFonts w:ascii="Arial" w:eastAsia="Calibri" w:hAnsi="Arial" w:cs="Arial"/>
          <w:b/>
          <w:bCs/>
          <w:sz w:val="20"/>
          <w:szCs w:val="20"/>
          <w:u w:val="single"/>
          <w:lang w:eastAsia="de-DE"/>
        </w:rPr>
      </w:pPr>
      <w:r w:rsidRPr="004B2ACC">
        <w:rPr>
          <w:rFonts w:ascii="Arial" w:eastAsia="Calibri" w:hAnsi="Arial" w:cs="Arial"/>
          <w:b/>
          <w:bCs/>
          <w:sz w:val="20"/>
          <w:szCs w:val="20"/>
          <w:u w:val="single"/>
          <w:lang w:eastAsia="de-DE"/>
        </w:rPr>
        <w:t>Leitsätze:</w:t>
      </w:r>
    </w:p>
    <w:p w:rsidR="00602C12" w:rsidRDefault="00602C12" w:rsidP="004B2ACC">
      <w:pPr>
        <w:pStyle w:val="StandardWeb"/>
        <w:spacing w:before="0" w:beforeAutospacing="0" w:after="0" w:afterAutospacing="0"/>
        <w:jc w:val="both"/>
        <w:rPr>
          <w:rFonts w:ascii="Arial" w:hAnsi="Arial" w:cs="Arial"/>
          <w:sz w:val="20"/>
          <w:szCs w:val="20"/>
        </w:rPr>
      </w:pPr>
      <w:r w:rsidRPr="004B2ACC">
        <w:rPr>
          <w:rFonts w:ascii="Arial" w:hAnsi="Arial" w:cs="Arial"/>
          <w:sz w:val="20"/>
          <w:szCs w:val="20"/>
        </w:rPr>
        <w:t xml:space="preserve">1. Der Arbeitgeber, der dem klagenden Arbeitnehmer während des Kündigungsrechtsstreits eine Prozessbeschäftigung antragen will, muss hierzu kein annahmefähiges Angebot </w:t>
      </w:r>
      <w:proofErr w:type="spellStart"/>
      <w:r w:rsidRPr="004B2ACC">
        <w:rPr>
          <w:rFonts w:ascii="Arial" w:hAnsi="Arial" w:cs="Arial"/>
          <w:sz w:val="20"/>
          <w:szCs w:val="20"/>
        </w:rPr>
        <w:t>i.S.d</w:t>
      </w:r>
      <w:proofErr w:type="spellEnd"/>
      <w:r w:rsidRPr="004B2ACC">
        <w:rPr>
          <w:rFonts w:ascii="Arial" w:hAnsi="Arial" w:cs="Arial"/>
          <w:sz w:val="20"/>
          <w:szCs w:val="20"/>
        </w:rPr>
        <w:t>. § 145 BGB unterbreiten.</w:t>
      </w:r>
    </w:p>
    <w:p w:rsidR="004B2ACC" w:rsidRPr="004B2ACC" w:rsidRDefault="004B2ACC" w:rsidP="004B2ACC">
      <w:pPr>
        <w:pStyle w:val="StandardWeb"/>
        <w:spacing w:before="0" w:beforeAutospacing="0" w:after="0" w:afterAutospacing="0"/>
        <w:jc w:val="both"/>
        <w:rPr>
          <w:rFonts w:ascii="Arial" w:hAnsi="Arial" w:cs="Arial"/>
          <w:sz w:val="20"/>
          <w:szCs w:val="20"/>
        </w:rPr>
      </w:pPr>
    </w:p>
    <w:p w:rsidR="00602C12" w:rsidRDefault="00602C12" w:rsidP="004B2ACC">
      <w:pPr>
        <w:pStyle w:val="StandardWeb"/>
        <w:spacing w:before="0" w:beforeAutospacing="0" w:after="0" w:afterAutospacing="0"/>
        <w:jc w:val="both"/>
        <w:rPr>
          <w:rFonts w:ascii="Arial" w:hAnsi="Arial" w:cs="Arial"/>
          <w:sz w:val="20"/>
          <w:szCs w:val="20"/>
        </w:rPr>
      </w:pPr>
      <w:r w:rsidRPr="004B2ACC">
        <w:rPr>
          <w:rFonts w:ascii="Arial" w:hAnsi="Arial" w:cs="Arial"/>
          <w:sz w:val="20"/>
          <w:szCs w:val="20"/>
        </w:rPr>
        <w:t>2. Das Angebot der Prozessbeschäftigung ist jedenfalls dann hinreichend bestimmt und annahmefähig, wenn es sich auf die bisherigen Arbeitsbedingungen bezieht und die Höhe der Vergütung sich aus § 612 Abs. 2 BGB ergibt.</w:t>
      </w:r>
    </w:p>
    <w:p w:rsidR="004B2ACC" w:rsidRPr="004B2ACC" w:rsidRDefault="004B2ACC" w:rsidP="004B2ACC">
      <w:pPr>
        <w:pStyle w:val="StandardWeb"/>
        <w:spacing w:before="0" w:beforeAutospacing="0" w:after="0" w:afterAutospacing="0"/>
        <w:jc w:val="both"/>
        <w:rPr>
          <w:rFonts w:ascii="Arial" w:hAnsi="Arial" w:cs="Arial"/>
          <w:sz w:val="20"/>
          <w:szCs w:val="20"/>
        </w:rPr>
      </w:pPr>
    </w:p>
    <w:p w:rsidR="00602C12" w:rsidRDefault="00602C12" w:rsidP="004B2ACC">
      <w:pPr>
        <w:pStyle w:val="StandardWeb"/>
        <w:spacing w:before="0" w:beforeAutospacing="0" w:after="0" w:afterAutospacing="0"/>
        <w:jc w:val="both"/>
        <w:rPr>
          <w:rFonts w:ascii="Arial" w:hAnsi="Arial" w:cs="Arial"/>
          <w:sz w:val="20"/>
          <w:szCs w:val="20"/>
        </w:rPr>
      </w:pPr>
      <w:r w:rsidRPr="004B2ACC">
        <w:rPr>
          <w:rFonts w:ascii="Arial" w:hAnsi="Arial" w:cs="Arial"/>
          <w:sz w:val="20"/>
          <w:szCs w:val="20"/>
        </w:rPr>
        <w:t>3. Eine Prozessbeschäftigung kann auch nach verhaltensbedingter Kündigung zumutbar sein, wenn der Kündigungssachverhalt unstreitig ist, nur noch rechtlich zu bewerten war und der Kündigungssachverhalt an sich geeignet ist, eine verhaltensbedingte Kündigung zu rechtfertigen (im Anschluss an BAG, Urteil vom 24.09.2003 - 5 AZR 500/02).</w:t>
      </w:r>
    </w:p>
    <w:p w:rsidR="004B2ACC" w:rsidRPr="004B2ACC" w:rsidRDefault="004B2ACC" w:rsidP="004B2ACC">
      <w:pPr>
        <w:pStyle w:val="StandardWeb"/>
        <w:spacing w:before="0" w:beforeAutospacing="0" w:after="0" w:afterAutospacing="0"/>
        <w:jc w:val="both"/>
        <w:rPr>
          <w:rFonts w:ascii="Arial" w:hAnsi="Arial" w:cs="Arial"/>
          <w:sz w:val="20"/>
          <w:szCs w:val="20"/>
        </w:rPr>
      </w:pPr>
    </w:p>
    <w:p w:rsidR="00602C12" w:rsidRPr="004B2ACC" w:rsidRDefault="00602C12" w:rsidP="004B2ACC">
      <w:pPr>
        <w:pStyle w:val="StandardWeb"/>
        <w:spacing w:before="0" w:beforeAutospacing="0" w:after="0" w:afterAutospacing="0"/>
        <w:jc w:val="both"/>
        <w:rPr>
          <w:rFonts w:ascii="Arial" w:hAnsi="Arial" w:cs="Arial"/>
          <w:sz w:val="20"/>
          <w:szCs w:val="20"/>
        </w:rPr>
      </w:pPr>
      <w:r w:rsidRPr="004B2ACC">
        <w:rPr>
          <w:rFonts w:ascii="Arial" w:hAnsi="Arial" w:cs="Arial"/>
          <w:sz w:val="20"/>
          <w:szCs w:val="20"/>
        </w:rPr>
        <w:t xml:space="preserve">4. Streiten die Parteien nur darüber, ob der Arbeitnehmer, der ein Werkzeug nach einem Arbeitskollegen warf, mit Verletzungsvorsatz handelte, so betrifft der Streit die rechtliche Bewertung des Kündigungssachverhalts. </w:t>
      </w:r>
    </w:p>
    <w:p w:rsidR="00432A44" w:rsidRPr="004B2ACC" w:rsidRDefault="00432A44" w:rsidP="004B2ACC">
      <w:pPr>
        <w:jc w:val="both"/>
        <w:rPr>
          <w:rFonts w:ascii="Arial" w:eastAsia="Calibri" w:hAnsi="Arial" w:cs="Arial"/>
          <w:bCs/>
          <w:sz w:val="20"/>
          <w:szCs w:val="20"/>
          <w:lang w:eastAsia="de-DE"/>
        </w:rPr>
      </w:pPr>
    </w:p>
    <w:p w:rsidR="00602C12" w:rsidRPr="004B2ACC" w:rsidRDefault="00602C12" w:rsidP="004B2ACC">
      <w:pPr>
        <w:pStyle w:val="StandardWeb"/>
        <w:spacing w:before="0" w:beforeAutospacing="0" w:after="0" w:afterAutospacing="0"/>
        <w:jc w:val="both"/>
        <w:rPr>
          <w:rFonts w:ascii="Arial" w:hAnsi="Arial" w:cs="Arial"/>
          <w:sz w:val="20"/>
          <w:szCs w:val="20"/>
        </w:rPr>
      </w:pPr>
      <w:r w:rsidRPr="004B2ACC">
        <w:rPr>
          <w:rFonts w:ascii="Arial" w:hAnsi="Arial" w:cs="Arial"/>
          <w:sz w:val="20"/>
          <w:szCs w:val="20"/>
        </w:rPr>
        <w:t>Die Berufung des Klägers gegen das Urteil des Arbeitsgerichts Detmold vom 19.11.2025, Az. 2 Ca 17/25 wird kostenpflichtig zurückgewiesen.</w:t>
      </w:r>
    </w:p>
    <w:p w:rsidR="002E1EFB" w:rsidRPr="004B2ACC" w:rsidRDefault="002E1EFB" w:rsidP="004B2ACC">
      <w:pPr>
        <w:pStyle w:val="StandardWeb"/>
        <w:spacing w:before="0" w:beforeAutospacing="0" w:after="0" w:afterAutospacing="0"/>
        <w:jc w:val="both"/>
        <w:rPr>
          <w:rFonts w:ascii="Arial" w:hAnsi="Arial" w:cs="Arial"/>
          <w:sz w:val="20"/>
          <w:szCs w:val="20"/>
        </w:rPr>
      </w:pPr>
    </w:p>
    <w:p w:rsidR="00602C12" w:rsidRPr="004B2ACC" w:rsidRDefault="00602C12" w:rsidP="004B2ACC">
      <w:pPr>
        <w:pStyle w:val="StandardWeb"/>
        <w:spacing w:before="0" w:beforeAutospacing="0" w:after="0" w:afterAutospacing="0"/>
        <w:jc w:val="both"/>
        <w:rPr>
          <w:rFonts w:ascii="Arial" w:hAnsi="Arial" w:cs="Arial"/>
          <w:sz w:val="20"/>
          <w:szCs w:val="20"/>
        </w:rPr>
      </w:pPr>
      <w:r w:rsidRPr="004B2ACC">
        <w:rPr>
          <w:rFonts w:ascii="Arial" w:hAnsi="Arial" w:cs="Arial"/>
          <w:sz w:val="20"/>
          <w:szCs w:val="20"/>
        </w:rPr>
        <w:t>Die Revision wird nicht zugelassen.</w:t>
      </w:r>
    </w:p>
    <w:p w:rsidR="00432A44" w:rsidRPr="00A3285E" w:rsidRDefault="00432A44" w:rsidP="004B2ACC">
      <w:pPr>
        <w:jc w:val="both"/>
        <w:rPr>
          <w:rFonts w:ascii="Arial" w:eastAsia="Calibri" w:hAnsi="Arial" w:cs="Arial"/>
          <w:bCs/>
          <w:sz w:val="20"/>
          <w:szCs w:val="20"/>
          <w:lang w:eastAsia="de-DE"/>
        </w:rPr>
      </w:pPr>
    </w:p>
    <w:p w:rsidR="00710FC5" w:rsidRPr="00A3285E" w:rsidRDefault="00602C12" w:rsidP="004B2ACC">
      <w:pPr>
        <w:jc w:val="both"/>
        <w:rPr>
          <w:rFonts w:ascii="Arial" w:eastAsia="Calibri" w:hAnsi="Arial" w:cs="Arial"/>
          <w:b/>
          <w:bCs/>
          <w:sz w:val="20"/>
          <w:szCs w:val="20"/>
          <w:u w:val="single"/>
          <w:lang w:eastAsia="de-DE"/>
        </w:rPr>
      </w:pPr>
      <w:r w:rsidRPr="00A3285E">
        <w:rPr>
          <w:rFonts w:ascii="Arial" w:eastAsia="Calibri" w:hAnsi="Arial" w:cs="Arial"/>
          <w:b/>
          <w:bCs/>
          <w:sz w:val="20"/>
          <w:szCs w:val="20"/>
          <w:u w:val="single"/>
          <w:lang w:eastAsia="de-DE"/>
        </w:rPr>
        <w:t>Siehe;</w:t>
      </w:r>
    </w:p>
    <w:p w:rsidR="002E1EFB" w:rsidRPr="002C1186" w:rsidRDefault="00B15653" w:rsidP="004B2ACC">
      <w:pPr>
        <w:pStyle w:val="StandardWeb"/>
        <w:spacing w:before="0" w:beforeAutospacing="0" w:after="0" w:afterAutospacing="0"/>
        <w:jc w:val="both"/>
        <w:rPr>
          <w:rFonts w:ascii="Arial" w:hAnsi="Arial" w:cs="Arial"/>
          <w:sz w:val="18"/>
          <w:szCs w:val="18"/>
        </w:rPr>
      </w:pPr>
      <w:hyperlink r:id="rId13" w:tgtFrame="_blank" w:history="1">
        <w:r w:rsidR="002E1EFB" w:rsidRPr="002C1186">
          <w:rPr>
            <w:rStyle w:val="Hyperlink"/>
            <w:rFonts w:ascii="Arial" w:hAnsi="Arial" w:cs="Arial"/>
            <w:color w:val="auto"/>
            <w:sz w:val="18"/>
            <w:szCs w:val="18"/>
          </w:rPr>
          <w:t>https://nrwe.justiz.nrw.de/arbgs/hamm/lag_hamm/j2026/18_SLa_24_26_Urteil_20260806.html</w:t>
        </w:r>
      </w:hyperlink>
      <w:r w:rsidR="002E1EFB" w:rsidRPr="002C1186">
        <w:rPr>
          <w:rFonts w:ascii="Arial" w:hAnsi="Arial" w:cs="Arial"/>
          <w:sz w:val="18"/>
          <w:szCs w:val="18"/>
        </w:rPr>
        <w:t xml:space="preserve"> </w:t>
      </w:r>
    </w:p>
    <w:p w:rsidR="007405D9" w:rsidRPr="00A3285E" w:rsidRDefault="007405D9" w:rsidP="004B2ACC">
      <w:pPr>
        <w:jc w:val="both"/>
        <w:rPr>
          <w:rFonts w:ascii="Arial" w:eastAsia="Calibri" w:hAnsi="Arial" w:cs="Arial"/>
          <w:bCs/>
          <w:sz w:val="20"/>
          <w:szCs w:val="20"/>
          <w:lang w:eastAsia="de-DE"/>
        </w:rPr>
      </w:pPr>
    </w:p>
    <w:p w:rsidR="00602C12" w:rsidRPr="00815589" w:rsidRDefault="004B2ACC" w:rsidP="00815589">
      <w:pPr>
        <w:jc w:val="center"/>
        <w:rPr>
          <w:rFonts w:ascii="Arial" w:eastAsia="Calibri" w:hAnsi="Arial" w:cs="Arial"/>
          <w:b/>
          <w:bCs/>
          <w:lang w:eastAsia="de-DE"/>
        </w:rPr>
      </w:pPr>
      <w:r w:rsidRPr="00815589">
        <w:rPr>
          <w:rFonts w:ascii="Arial" w:eastAsia="Calibri" w:hAnsi="Arial" w:cs="Arial"/>
          <w:b/>
          <w:bCs/>
          <w:lang w:eastAsia="de-DE"/>
        </w:rPr>
        <w:t>VII.</w:t>
      </w:r>
    </w:p>
    <w:p w:rsidR="00602C12" w:rsidRPr="00815589" w:rsidRDefault="004B2ACC" w:rsidP="00815589">
      <w:pPr>
        <w:jc w:val="center"/>
        <w:rPr>
          <w:rFonts w:ascii="Arial" w:eastAsia="Calibri" w:hAnsi="Arial" w:cs="Arial"/>
          <w:b/>
          <w:bCs/>
          <w:lang w:eastAsia="de-DE"/>
        </w:rPr>
      </w:pPr>
      <w:r w:rsidRPr="00815589">
        <w:rPr>
          <w:rFonts w:ascii="Arial" w:eastAsia="Calibri" w:hAnsi="Arial" w:cs="Arial"/>
          <w:b/>
          <w:bCs/>
          <w:lang w:eastAsia="de-DE"/>
        </w:rPr>
        <w:t>Bundesarbeitsgericht</w:t>
      </w:r>
    </w:p>
    <w:p w:rsidR="00602C12" w:rsidRPr="00815589" w:rsidRDefault="00815589" w:rsidP="00815589">
      <w:pPr>
        <w:jc w:val="center"/>
        <w:rPr>
          <w:rFonts w:ascii="Arial" w:eastAsia="Calibri" w:hAnsi="Arial" w:cs="Arial"/>
          <w:bCs/>
          <w:lang w:eastAsia="de-DE"/>
        </w:rPr>
      </w:pPr>
      <w:r w:rsidRPr="00815589">
        <w:rPr>
          <w:rFonts w:ascii="Arial" w:eastAsia="Calibri" w:hAnsi="Arial" w:cs="Arial"/>
          <w:bCs/>
          <w:lang w:eastAsia="de-DE"/>
        </w:rPr>
        <w:t>Beschluss vom 14.09.2026 - 6 AZB 10/26 -</w:t>
      </w:r>
    </w:p>
    <w:p w:rsidR="00602C12" w:rsidRDefault="00602C12" w:rsidP="00A36FB9">
      <w:pPr>
        <w:jc w:val="both"/>
        <w:rPr>
          <w:rFonts w:ascii="Arial" w:eastAsia="Calibri" w:hAnsi="Arial" w:cs="Arial"/>
          <w:bCs/>
          <w:sz w:val="20"/>
          <w:szCs w:val="20"/>
          <w:lang w:eastAsia="de-DE"/>
        </w:rPr>
      </w:pPr>
    </w:p>
    <w:p w:rsidR="00815589" w:rsidRPr="00815589" w:rsidRDefault="00815589" w:rsidP="00A36FB9">
      <w:pPr>
        <w:jc w:val="both"/>
        <w:rPr>
          <w:rFonts w:ascii="Arial" w:eastAsia="Calibri" w:hAnsi="Arial" w:cs="Arial"/>
          <w:b/>
          <w:bCs/>
          <w:sz w:val="20"/>
          <w:szCs w:val="20"/>
          <w:u w:val="single"/>
          <w:lang w:eastAsia="de-DE"/>
        </w:rPr>
      </w:pPr>
      <w:r w:rsidRPr="00815589">
        <w:rPr>
          <w:rFonts w:ascii="Arial" w:eastAsia="Calibri" w:hAnsi="Arial" w:cs="Arial"/>
          <w:b/>
          <w:bCs/>
          <w:sz w:val="20"/>
          <w:szCs w:val="20"/>
          <w:u w:val="single"/>
          <w:lang w:eastAsia="de-DE"/>
        </w:rPr>
        <w:lastRenderedPageBreak/>
        <w:t>Schlagworte/Normen:</w:t>
      </w:r>
    </w:p>
    <w:p w:rsidR="00602C12" w:rsidRPr="00815589" w:rsidRDefault="00815589" w:rsidP="00A36FB9">
      <w:pPr>
        <w:jc w:val="both"/>
        <w:rPr>
          <w:rFonts w:ascii="Arial" w:eastAsia="Calibri" w:hAnsi="Arial" w:cs="Arial"/>
          <w:b/>
          <w:bCs/>
          <w:sz w:val="20"/>
          <w:szCs w:val="20"/>
          <w:lang w:eastAsia="de-DE"/>
        </w:rPr>
      </w:pPr>
      <w:r w:rsidRPr="00815589">
        <w:rPr>
          <w:rFonts w:ascii="Arial" w:eastAsia="Calibri" w:hAnsi="Arial" w:cs="Arial"/>
          <w:b/>
          <w:bCs/>
          <w:sz w:val="20"/>
          <w:szCs w:val="20"/>
          <w:lang w:eastAsia="de-DE"/>
        </w:rPr>
        <w:t>Fristwahrung - Weiterleitung im ordentlichen Geschäftsgang</w:t>
      </w:r>
    </w:p>
    <w:p w:rsidR="00602C12" w:rsidRDefault="00602C12" w:rsidP="00A36FB9">
      <w:pPr>
        <w:jc w:val="both"/>
        <w:rPr>
          <w:rFonts w:ascii="Arial" w:eastAsia="Calibri" w:hAnsi="Arial" w:cs="Arial"/>
          <w:bCs/>
          <w:sz w:val="20"/>
          <w:szCs w:val="20"/>
          <w:lang w:eastAsia="de-DE"/>
        </w:rPr>
      </w:pPr>
    </w:p>
    <w:p w:rsidR="00602C12" w:rsidRPr="00815589" w:rsidRDefault="00815589" w:rsidP="00A36FB9">
      <w:pPr>
        <w:jc w:val="both"/>
        <w:rPr>
          <w:rFonts w:ascii="Arial" w:eastAsia="Calibri" w:hAnsi="Arial" w:cs="Arial"/>
          <w:b/>
          <w:bCs/>
          <w:sz w:val="20"/>
          <w:szCs w:val="20"/>
          <w:u w:val="single"/>
          <w:lang w:eastAsia="de-DE"/>
        </w:rPr>
      </w:pPr>
      <w:r w:rsidRPr="00815589">
        <w:rPr>
          <w:rFonts w:ascii="Arial" w:eastAsia="Calibri" w:hAnsi="Arial" w:cs="Arial"/>
          <w:b/>
          <w:bCs/>
          <w:sz w:val="20"/>
          <w:szCs w:val="20"/>
          <w:u w:val="single"/>
          <w:lang w:eastAsia="de-DE"/>
        </w:rPr>
        <w:t>Leitsatz</w:t>
      </w:r>
      <w:r>
        <w:rPr>
          <w:rFonts w:ascii="Arial" w:eastAsia="Calibri" w:hAnsi="Arial" w:cs="Arial"/>
          <w:b/>
          <w:bCs/>
          <w:sz w:val="20"/>
          <w:szCs w:val="20"/>
          <w:u w:val="single"/>
          <w:lang w:eastAsia="de-DE"/>
        </w:rPr>
        <w:t>:</w:t>
      </w:r>
    </w:p>
    <w:p w:rsidR="002E1EFB" w:rsidRDefault="00815589" w:rsidP="00A36FB9">
      <w:pPr>
        <w:jc w:val="both"/>
        <w:rPr>
          <w:rFonts w:ascii="Arial" w:eastAsia="Calibri" w:hAnsi="Arial" w:cs="Arial"/>
          <w:bCs/>
          <w:sz w:val="20"/>
          <w:szCs w:val="20"/>
          <w:lang w:eastAsia="de-DE"/>
        </w:rPr>
      </w:pPr>
      <w:r w:rsidRPr="00815589">
        <w:rPr>
          <w:rFonts w:ascii="Arial" w:eastAsia="Calibri" w:hAnsi="Arial" w:cs="Arial"/>
          <w:bCs/>
          <w:sz w:val="20"/>
          <w:szCs w:val="20"/>
          <w:lang w:eastAsia="de-DE"/>
        </w:rPr>
        <w:t>Auf eine noch fristwahrende Weiterleitung im ordentlichen Geschäftsgang</w:t>
      </w:r>
      <w:r>
        <w:rPr>
          <w:rFonts w:ascii="Arial" w:eastAsia="Calibri" w:hAnsi="Arial" w:cs="Arial"/>
          <w:bCs/>
          <w:sz w:val="20"/>
          <w:szCs w:val="20"/>
          <w:lang w:eastAsia="de-DE"/>
        </w:rPr>
        <w:t xml:space="preserve"> </w:t>
      </w:r>
      <w:r w:rsidRPr="00815589">
        <w:rPr>
          <w:rFonts w:ascii="Arial" w:eastAsia="Calibri" w:hAnsi="Arial" w:cs="Arial"/>
          <w:bCs/>
          <w:sz w:val="20"/>
          <w:szCs w:val="20"/>
          <w:lang w:eastAsia="de-DE"/>
        </w:rPr>
        <w:t>darf der Prozessbevollmächtigte nicht vertrauen, wenn der Schriftsatz im</w:t>
      </w:r>
      <w:r>
        <w:rPr>
          <w:rFonts w:ascii="Arial" w:eastAsia="Calibri" w:hAnsi="Arial" w:cs="Arial"/>
          <w:bCs/>
          <w:sz w:val="20"/>
          <w:szCs w:val="20"/>
          <w:lang w:eastAsia="de-DE"/>
        </w:rPr>
        <w:t xml:space="preserve"> </w:t>
      </w:r>
      <w:r w:rsidRPr="00815589">
        <w:rPr>
          <w:rFonts w:ascii="Arial" w:eastAsia="Calibri" w:hAnsi="Arial" w:cs="Arial"/>
          <w:bCs/>
          <w:sz w:val="20"/>
          <w:szCs w:val="20"/>
          <w:lang w:eastAsia="de-DE"/>
        </w:rPr>
        <w:t>elektronischen Rechtsverkehr bei der unzuständigen Stelle erst am Tag</w:t>
      </w:r>
      <w:r>
        <w:rPr>
          <w:rFonts w:ascii="Arial" w:eastAsia="Calibri" w:hAnsi="Arial" w:cs="Arial"/>
          <w:bCs/>
          <w:sz w:val="20"/>
          <w:szCs w:val="20"/>
          <w:lang w:eastAsia="de-DE"/>
        </w:rPr>
        <w:t xml:space="preserve"> </w:t>
      </w:r>
      <w:r w:rsidRPr="00815589">
        <w:rPr>
          <w:rFonts w:ascii="Arial" w:eastAsia="Calibri" w:hAnsi="Arial" w:cs="Arial"/>
          <w:bCs/>
          <w:sz w:val="20"/>
          <w:szCs w:val="20"/>
          <w:lang w:eastAsia="de-DE"/>
        </w:rPr>
        <w:t>des Fristablaufs eingereicht wird. Dies gilt auch, wenn im üblichen Geschäftsgang des betreffenden Gerichts verfahrensleitende Anträge unmittelbar ohne Vorlage der Akte und richterliche Verfügung an die zuständige</w:t>
      </w:r>
      <w:r>
        <w:rPr>
          <w:rFonts w:ascii="Arial" w:eastAsia="Calibri" w:hAnsi="Arial" w:cs="Arial"/>
          <w:bCs/>
          <w:sz w:val="20"/>
          <w:szCs w:val="20"/>
          <w:lang w:eastAsia="de-DE"/>
        </w:rPr>
        <w:t xml:space="preserve"> </w:t>
      </w:r>
      <w:r w:rsidRPr="00815589">
        <w:rPr>
          <w:rFonts w:ascii="Arial" w:eastAsia="Calibri" w:hAnsi="Arial" w:cs="Arial"/>
          <w:bCs/>
          <w:sz w:val="20"/>
          <w:szCs w:val="20"/>
          <w:lang w:eastAsia="de-DE"/>
        </w:rPr>
        <w:t>Stelle überführt werden</w:t>
      </w:r>
      <w:r>
        <w:rPr>
          <w:rFonts w:ascii="Arial" w:eastAsia="Calibri" w:hAnsi="Arial" w:cs="Arial"/>
          <w:bCs/>
          <w:sz w:val="20"/>
          <w:szCs w:val="20"/>
          <w:lang w:eastAsia="de-DE"/>
        </w:rPr>
        <w:t>.</w:t>
      </w:r>
    </w:p>
    <w:p w:rsidR="002E1EFB" w:rsidRDefault="002E1EFB" w:rsidP="00A36FB9">
      <w:pPr>
        <w:jc w:val="both"/>
        <w:rPr>
          <w:rFonts w:ascii="Arial" w:eastAsia="Calibri" w:hAnsi="Arial" w:cs="Arial"/>
          <w:bCs/>
          <w:sz w:val="20"/>
          <w:szCs w:val="20"/>
          <w:lang w:eastAsia="de-DE"/>
        </w:rPr>
      </w:pPr>
    </w:p>
    <w:p w:rsidR="002E1EFB" w:rsidRPr="00A36FB9" w:rsidRDefault="00A36FB9" w:rsidP="00A36FB9">
      <w:pPr>
        <w:jc w:val="both"/>
        <w:rPr>
          <w:rFonts w:ascii="Arial" w:eastAsia="Calibri" w:hAnsi="Arial" w:cs="Arial"/>
          <w:b/>
          <w:bCs/>
          <w:sz w:val="20"/>
          <w:szCs w:val="20"/>
          <w:u w:val="single"/>
          <w:lang w:eastAsia="de-DE"/>
        </w:rPr>
      </w:pPr>
      <w:r w:rsidRPr="00A36FB9">
        <w:rPr>
          <w:rFonts w:ascii="Arial" w:eastAsia="Calibri" w:hAnsi="Arial" w:cs="Arial"/>
          <w:b/>
          <w:bCs/>
          <w:sz w:val="20"/>
          <w:szCs w:val="20"/>
          <w:u w:val="single"/>
          <w:lang w:eastAsia="de-DE"/>
        </w:rPr>
        <w:t>Siehe:</w:t>
      </w:r>
    </w:p>
    <w:p w:rsidR="00A36FB9" w:rsidRPr="002C1186" w:rsidRDefault="00B15653" w:rsidP="00A36FB9">
      <w:pPr>
        <w:jc w:val="both"/>
        <w:rPr>
          <w:rFonts w:ascii="Arial" w:hAnsi="Arial" w:cs="Arial"/>
          <w:sz w:val="18"/>
          <w:szCs w:val="18"/>
        </w:rPr>
      </w:pPr>
      <w:hyperlink r:id="rId14" w:history="1">
        <w:r w:rsidR="00A36FB9" w:rsidRPr="002C1186">
          <w:rPr>
            <w:rStyle w:val="Hyperlink"/>
            <w:rFonts w:ascii="Arial" w:hAnsi="Arial" w:cs="Arial"/>
            <w:color w:val="auto"/>
            <w:sz w:val="18"/>
            <w:szCs w:val="18"/>
          </w:rPr>
          <w:t>https://www.bundesarbeitsgericht.de/wp-content/uploads/2026/09/6-AZB-10-26.pdf</w:t>
        </w:r>
      </w:hyperlink>
    </w:p>
    <w:p w:rsidR="002E1EFB" w:rsidRDefault="002E1EFB" w:rsidP="00E930BE">
      <w:pPr>
        <w:rPr>
          <w:rFonts w:ascii="Arial" w:eastAsia="Calibri" w:hAnsi="Arial" w:cs="Arial"/>
          <w:bCs/>
          <w:sz w:val="20"/>
          <w:szCs w:val="20"/>
          <w:lang w:eastAsia="de-DE"/>
        </w:rPr>
      </w:pPr>
    </w:p>
    <w:p w:rsidR="002E1EFB" w:rsidRPr="00A36FB9" w:rsidRDefault="00A36FB9" w:rsidP="00A36FB9">
      <w:pPr>
        <w:jc w:val="center"/>
        <w:rPr>
          <w:rFonts w:ascii="Arial" w:eastAsia="Calibri" w:hAnsi="Arial" w:cs="Arial"/>
          <w:b/>
          <w:bCs/>
          <w:lang w:eastAsia="de-DE"/>
        </w:rPr>
      </w:pPr>
      <w:r w:rsidRPr="00A36FB9">
        <w:rPr>
          <w:rFonts w:ascii="Arial" w:eastAsia="Calibri" w:hAnsi="Arial" w:cs="Arial"/>
          <w:b/>
          <w:bCs/>
          <w:lang w:eastAsia="de-DE"/>
        </w:rPr>
        <w:t>VIII.</w:t>
      </w:r>
    </w:p>
    <w:p w:rsidR="00A36FB9" w:rsidRPr="00A36FB9" w:rsidRDefault="00A36FB9" w:rsidP="00A36FB9">
      <w:pPr>
        <w:jc w:val="center"/>
        <w:rPr>
          <w:rFonts w:ascii="Arial" w:eastAsia="Calibri" w:hAnsi="Arial" w:cs="Arial"/>
          <w:b/>
          <w:bCs/>
          <w:lang w:eastAsia="de-DE"/>
        </w:rPr>
      </w:pPr>
      <w:r w:rsidRPr="00A36FB9">
        <w:rPr>
          <w:rFonts w:ascii="Arial" w:eastAsia="Calibri" w:hAnsi="Arial" w:cs="Arial"/>
          <w:b/>
          <w:bCs/>
          <w:lang w:eastAsia="de-DE"/>
        </w:rPr>
        <w:t>Bundesarbeitsgericht</w:t>
      </w:r>
    </w:p>
    <w:p w:rsidR="00A36FB9" w:rsidRPr="00A36FB9" w:rsidRDefault="00A36FB9" w:rsidP="00A36FB9">
      <w:pPr>
        <w:jc w:val="center"/>
        <w:rPr>
          <w:rFonts w:ascii="Arial" w:eastAsia="Calibri" w:hAnsi="Arial" w:cs="Arial"/>
          <w:bCs/>
          <w:lang w:eastAsia="de-DE"/>
        </w:rPr>
      </w:pPr>
      <w:r w:rsidRPr="00A36FB9">
        <w:rPr>
          <w:rFonts w:ascii="Arial" w:eastAsia="Calibri" w:hAnsi="Arial" w:cs="Arial"/>
          <w:bCs/>
          <w:lang w:eastAsia="de-DE"/>
        </w:rPr>
        <w:t>Urteil vom 7. Mai 2026 - 2 AZR 191/25</w:t>
      </w:r>
    </w:p>
    <w:p w:rsidR="00A36FB9" w:rsidRDefault="00A36FB9" w:rsidP="00A36FB9">
      <w:pPr>
        <w:jc w:val="both"/>
        <w:rPr>
          <w:rFonts w:ascii="Arial" w:eastAsia="Calibri" w:hAnsi="Arial" w:cs="Arial"/>
          <w:bCs/>
          <w:sz w:val="20"/>
          <w:szCs w:val="20"/>
          <w:lang w:eastAsia="de-DE"/>
        </w:rPr>
      </w:pPr>
    </w:p>
    <w:p w:rsidR="00A36FB9" w:rsidRPr="00A36FB9" w:rsidRDefault="00A36FB9" w:rsidP="00A36FB9">
      <w:pPr>
        <w:jc w:val="both"/>
        <w:rPr>
          <w:rFonts w:ascii="Arial" w:eastAsia="Calibri" w:hAnsi="Arial" w:cs="Arial"/>
          <w:b/>
          <w:bCs/>
          <w:sz w:val="20"/>
          <w:szCs w:val="20"/>
          <w:u w:val="single"/>
          <w:lang w:eastAsia="de-DE"/>
        </w:rPr>
      </w:pPr>
      <w:r w:rsidRPr="00A36FB9">
        <w:rPr>
          <w:rFonts w:ascii="Arial" w:eastAsia="Calibri" w:hAnsi="Arial" w:cs="Arial"/>
          <w:b/>
          <w:bCs/>
          <w:sz w:val="20"/>
          <w:szCs w:val="20"/>
          <w:u w:val="single"/>
          <w:lang w:eastAsia="de-DE"/>
        </w:rPr>
        <w:t>Schlagworte/Normen:</w:t>
      </w:r>
    </w:p>
    <w:p w:rsidR="00A36FB9" w:rsidRPr="00A36FB9" w:rsidRDefault="00A36FB9" w:rsidP="00A36FB9">
      <w:pPr>
        <w:jc w:val="both"/>
        <w:rPr>
          <w:rFonts w:ascii="Arial" w:eastAsia="Calibri" w:hAnsi="Arial" w:cs="Arial"/>
          <w:b/>
          <w:bCs/>
          <w:sz w:val="20"/>
          <w:szCs w:val="20"/>
          <w:lang w:eastAsia="de-DE"/>
        </w:rPr>
      </w:pPr>
      <w:r w:rsidRPr="00A36FB9">
        <w:rPr>
          <w:rFonts w:ascii="Arial" w:eastAsia="Calibri" w:hAnsi="Arial" w:cs="Arial"/>
          <w:b/>
          <w:bCs/>
          <w:sz w:val="20"/>
          <w:szCs w:val="20"/>
          <w:lang w:eastAsia="de-DE"/>
        </w:rPr>
        <w:t>Wartezeitkündigung - Vorfeldinitiator</w:t>
      </w:r>
    </w:p>
    <w:p w:rsidR="00A36FB9" w:rsidRDefault="00A36FB9" w:rsidP="00A36FB9">
      <w:pPr>
        <w:jc w:val="both"/>
        <w:rPr>
          <w:rFonts w:ascii="Arial" w:eastAsia="Calibri" w:hAnsi="Arial" w:cs="Arial"/>
          <w:bCs/>
          <w:sz w:val="20"/>
          <w:szCs w:val="20"/>
          <w:lang w:eastAsia="de-DE"/>
        </w:rPr>
      </w:pPr>
    </w:p>
    <w:p w:rsidR="00A36FB9" w:rsidRPr="00A36FB9" w:rsidRDefault="00A36FB9" w:rsidP="00C777F0">
      <w:pPr>
        <w:jc w:val="both"/>
        <w:rPr>
          <w:rFonts w:ascii="Arial" w:eastAsia="Calibri" w:hAnsi="Arial" w:cs="Arial"/>
          <w:b/>
          <w:bCs/>
          <w:sz w:val="20"/>
          <w:szCs w:val="20"/>
          <w:u w:val="single"/>
          <w:lang w:eastAsia="de-DE"/>
        </w:rPr>
      </w:pPr>
      <w:r w:rsidRPr="00A36FB9">
        <w:rPr>
          <w:rFonts w:ascii="Arial" w:eastAsia="Calibri" w:hAnsi="Arial" w:cs="Arial"/>
          <w:b/>
          <w:bCs/>
          <w:sz w:val="20"/>
          <w:szCs w:val="20"/>
          <w:u w:val="single"/>
          <w:lang w:eastAsia="de-DE"/>
        </w:rPr>
        <w:t>Leitsatz:</w:t>
      </w:r>
    </w:p>
    <w:p w:rsidR="00A36FB9" w:rsidRDefault="00A36FB9" w:rsidP="00C777F0">
      <w:pPr>
        <w:jc w:val="both"/>
        <w:rPr>
          <w:rFonts w:ascii="Arial" w:eastAsia="Calibri" w:hAnsi="Arial" w:cs="Arial"/>
          <w:bCs/>
          <w:sz w:val="20"/>
          <w:szCs w:val="20"/>
          <w:lang w:eastAsia="de-DE"/>
        </w:rPr>
      </w:pPr>
      <w:r w:rsidRPr="00A36FB9">
        <w:rPr>
          <w:rFonts w:ascii="Arial" w:eastAsia="Calibri" w:hAnsi="Arial" w:cs="Arial"/>
          <w:bCs/>
          <w:sz w:val="20"/>
          <w:szCs w:val="20"/>
          <w:lang w:eastAsia="de-DE"/>
        </w:rPr>
        <w:t>Der Kündigungsschutz nach § 15 Abs. 3b KSchG findet auf sog. Vorfeldinitiatoren von Personalratswahlen weder direkt noch analog Anwendung</w:t>
      </w:r>
    </w:p>
    <w:p w:rsidR="00A36FB9" w:rsidRDefault="00A36FB9" w:rsidP="00C777F0">
      <w:pPr>
        <w:jc w:val="both"/>
        <w:rPr>
          <w:rFonts w:ascii="Arial" w:eastAsia="Calibri" w:hAnsi="Arial" w:cs="Arial"/>
          <w:bCs/>
          <w:sz w:val="20"/>
          <w:szCs w:val="20"/>
          <w:lang w:eastAsia="de-DE"/>
        </w:rPr>
      </w:pPr>
    </w:p>
    <w:p w:rsidR="002E1EFB" w:rsidRPr="00A36FB9" w:rsidRDefault="00A36FB9" w:rsidP="00A36FB9">
      <w:pPr>
        <w:jc w:val="both"/>
        <w:rPr>
          <w:rFonts w:ascii="Arial" w:eastAsia="Calibri" w:hAnsi="Arial" w:cs="Arial"/>
          <w:b/>
          <w:bCs/>
          <w:sz w:val="20"/>
          <w:szCs w:val="20"/>
          <w:u w:val="single"/>
          <w:lang w:eastAsia="de-DE"/>
        </w:rPr>
      </w:pPr>
      <w:r w:rsidRPr="00A36FB9">
        <w:rPr>
          <w:rFonts w:ascii="Arial" w:eastAsia="Calibri" w:hAnsi="Arial" w:cs="Arial"/>
          <w:b/>
          <w:bCs/>
          <w:sz w:val="20"/>
          <w:szCs w:val="20"/>
          <w:u w:val="single"/>
          <w:lang w:eastAsia="de-DE"/>
        </w:rPr>
        <w:t>Siehe:</w:t>
      </w:r>
    </w:p>
    <w:p w:rsidR="00A36FB9" w:rsidRPr="002C1186" w:rsidRDefault="00B15653" w:rsidP="00A36FB9">
      <w:pPr>
        <w:rPr>
          <w:rFonts w:ascii="Arial" w:hAnsi="Arial" w:cs="Arial"/>
          <w:sz w:val="18"/>
          <w:szCs w:val="18"/>
        </w:rPr>
      </w:pPr>
      <w:hyperlink r:id="rId15" w:history="1">
        <w:r w:rsidR="00A36FB9" w:rsidRPr="002C1186">
          <w:rPr>
            <w:rStyle w:val="Hyperlink"/>
            <w:rFonts w:ascii="Arial" w:hAnsi="Arial" w:cs="Arial"/>
            <w:color w:val="auto"/>
            <w:sz w:val="18"/>
            <w:szCs w:val="18"/>
          </w:rPr>
          <w:t>https://www.bundesarbeitsgericht.de/wp-content/uploads/2026/09/2-AZR-191-25.pdf</w:t>
        </w:r>
      </w:hyperlink>
    </w:p>
    <w:p w:rsidR="00A36FB9" w:rsidRDefault="00A36FB9" w:rsidP="00E930BE">
      <w:pPr>
        <w:rPr>
          <w:rFonts w:ascii="Arial" w:eastAsia="Calibri" w:hAnsi="Arial" w:cs="Arial"/>
          <w:bCs/>
          <w:sz w:val="20"/>
          <w:szCs w:val="20"/>
          <w:lang w:eastAsia="de-DE"/>
        </w:rPr>
      </w:pPr>
    </w:p>
    <w:p w:rsidR="00A36FB9" w:rsidRPr="00635267" w:rsidRDefault="00635267" w:rsidP="00635267">
      <w:pPr>
        <w:jc w:val="center"/>
        <w:rPr>
          <w:rFonts w:ascii="Arial" w:eastAsia="Calibri" w:hAnsi="Arial" w:cs="Arial"/>
          <w:b/>
          <w:bCs/>
          <w:lang w:eastAsia="de-DE"/>
        </w:rPr>
      </w:pPr>
      <w:r w:rsidRPr="00635267">
        <w:rPr>
          <w:rFonts w:ascii="Arial" w:eastAsia="Calibri" w:hAnsi="Arial" w:cs="Arial"/>
          <w:b/>
          <w:bCs/>
          <w:lang w:eastAsia="de-DE"/>
        </w:rPr>
        <w:t>IX.</w:t>
      </w:r>
    </w:p>
    <w:p w:rsidR="00A36FB9" w:rsidRPr="00635267" w:rsidRDefault="00635267" w:rsidP="00635267">
      <w:pPr>
        <w:jc w:val="center"/>
        <w:rPr>
          <w:rFonts w:ascii="Arial" w:eastAsia="Calibri" w:hAnsi="Arial" w:cs="Arial"/>
          <w:b/>
          <w:bCs/>
          <w:lang w:eastAsia="de-DE"/>
        </w:rPr>
      </w:pPr>
      <w:r w:rsidRPr="00635267">
        <w:rPr>
          <w:rFonts w:ascii="Arial" w:eastAsia="Calibri" w:hAnsi="Arial" w:cs="Arial"/>
          <w:b/>
          <w:bCs/>
          <w:lang w:eastAsia="de-DE"/>
        </w:rPr>
        <w:t>Bundesarbeitsgericht</w:t>
      </w:r>
    </w:p>
    <w:p w:rsidR="00A36FB9" w:rsidRPr="00635267" w:rsidRDefault="00635267" w:rsidP="00635267">
      <w:pPr>
        <w:jc w:val="center"/>
        <w:rPr>
          <w:rFonts w:ascii="Arial" w:eastAsia="Calibri" w:hAnsi="Arial" w:cs="Arial"/>
          <w:bCs/>
          <w:lang w:eastAsia="de-DE"/>
        </w:rPr>
      </w:pPr>
      <w:r w:rsidRPr="00635267">
        <w:rPr>
          <w:rFonts w:ascii="Arial" w:eastAsia="Calibri" w:hAnsi="Arial" w:cs="Arial"/>
          <w:bCs/>
          <w:lang w:eastAsia="de-DE"/>
        </w:rPr>
        <w:t>Urteil vom 7. Mai 2026 - 2 AZR 130/25</w:t>
      </w:r>
    </w:p>
    <w:p w:rsidR="00A36FB9" w:rsidRDefault="00A36FB9" w:rsidP="00635267">
      <w:pPr>
        <w:jc w:val="both"/>
        <w:rPr>
          <w:rFonts w:ascii="Arial" w:eastAsia="Calibri" w:hAnsi="Arial" w:cs="Arial"/>
          <w:bCs/>
          <w:sz w:val="20"/>
          <w:szCs w:val="20"/>
          <w:lang w:eastAsia="de-DE"/>
        </w:rPr>
      </w:pPr>
    </w:p>
    <w:p w:rsidR="00A36FB9" w:rsidRPr="00635267" w:rsidRDefault="00635267" w:rsidP="00635267">
      <w:pPr>
        <w:jc w:val="both"/>
        <w:rPr>
          <w:rFonts w:ascii="Arial" w:eastAsia="Calibri" w:hAnsi="Arial" w:cs="Arial"/>
          <w:b/>
          <w:bCs/>
          <w:sz w:val="20"/>
          <w:szCs w:val="20"/>
          <w:u w:val="single"/>
          <w:lang w:eastAsia="de-DE"/>
        </w:rPr>
      </w:pPr>
      <w:r w:rsidRPr="00635267">
        <w:rPr>
          <w:rFonts w:ascii="Arial" w:eastAsia="Calibri" w:hAnsi="Arial" w:cs="Arial"/>
          <w:b/>
          <w:bCs/>
          <w:sz w:val="20"/>
          <w:szCs w:val="20"/>
          <w:u w:val="single"/>
          <w:lang w:eastAsia="de-DE"/>
        </w:rPr>
        <w:t>Schlagworte/Normen:</w:t>
      </w:r>
    </w:p>
    <w:p w:rsidR="00A36FB9" w:rsidRPr="00635267" w:rsidRDefault="00635267" w:rsidP="00635267">
      <w:pPr>
        <w:jc w:val="both"/>
        <w:rPr>
          <w:rFonts w:ascii="Arial" w:eastAsia="Calibri" w:hAnsi="Arial" w:cs="Arial"/>
          <w:b/>
          <w:bCs/>
          <w:sz w:val="20"/>
          <w:szCs w:val="20"/>
          <w:lang w:eastAsia="de-DE"/>
        </w:rPr>
      </w:pPr>
      <w:r w:rsidRPr="00635267">
        <w:rPr>
          <w:rFonts w:ascii="Arial" w:eastAsia="Calibri" w:hAnsi="Arial" w:cs="Arial"/>
          <w:b/>
          <w:bCs/>
          <w:sz w:val="20"/>
          <w:szCs w:val="20"/>
          <w:lang w:eastAsia="de-DE"/>
        </w:rPr>
        <w:t>Kündigung durch Mitglieder des Aufsichtsrats einer GmbH - Zurückweisung nach § 174 BGB</w:t>
      </w:r>
    </w:p>
    <w:p w:rsidR="00A36FB9" w:rsidRDefault="00A36FB9" w:rsidP="00635267">
      <w:pPr>
        <w:jc w:val="both"/>
        <w:rPr>
          <w:rFonts w:ascii="Arial" w:eastAsia="Calibri" w:hAnsi="Arial" w:cs="Arial"/>
          <w:bCs/>
          <w:sz w:val="20"/>
          <w:szCs w:val="20"/>
          <w:lang w:eastAsia="de-DE"/>
        </w:rPr>
      </w:pPr>
    </w:p>
    <w:p w:rsidR="00A36FB9" w:rsidRPr="00635267" w:rsidRDefault="00635267" w:rsidP="00635267">
      <w:pPr>
        <w:jc w:val="both"/>
        <w:rPr>
          <w:rFonts w:ascii="Arial" w:eastAsia="Calibri" w:hAnsi="Arial" w:cs="Arial"/>
          <w:b/>
          <w:bCs/>
          <w:sz w:val="20"/>
          <w:szCs w:val="20"/>
          <w:u w:val="single"/>
          <w:lang w:eastAsia="de-DE"/>
        </w:rPr>
      </w:pPr>
      <w:r w:rsidRPr="00635267">
        <w:rPr>
          <w:rFonts w:ascii="Arial" w:eastAsia="Calibri" w:hAnsi="Arial" w:cs="Arial"/>
          <w:b/>
          <w:bCs/>
          <w:sz w:val="20"/>
          <w:szCs w:val="20"/>
          <w:u w:val="single"/>
          <w:lang w:eastAsia="de-DE"/>
        </w:rPr>
        <w:t>Siehe:</w:t>
      </w:r>
    </w:p>
    <w:p w:rsidR="00635267" w:rsidRPr="002C1186" w:rsidRDefault="00B15653" w:rsidP="00635267">
      <w:pPr>
        <w:rPr>
          <w:rFonts w:ascii="Arial" w:hAnsi="Arial" w:cs="Arial"/>
          <w:sz w:val="18"/>
          <w:szCs w:val="18"/>
        </w:rPr>
      </w:pPr>
      <w:hyperlink r:id="rId16" w:history="1">
        <w:r w:rsidR="00635267" w:rsidRPr="002C1186">
          <w:rPr>
            <w:rStyle w:val="Hyperlink"/>
            <w:rFonts w:ascii="Arial" w:hAnsi="Arial" w:cs="Arial"/>
            <w:color w:val="auto"/>
            <w:sz w:val="18"/>
            <w:szCs w:val="18"/>
          </w:rPr>
          <w:t>https://www.bundesarbeitsgericht.de/wp-content/uploads/2026/09/2-AZR-130-25.pdf</w:t>
        </w:r>
      </w:hyperlink>
    </w:p>
    <w:p w:rsidR="00A36FB9" w:rsidRDefault="00A36FB9" w:rsidP="00E930BE">
      <w:pPr>
        <w:rPr>
          <w:rFonts w:ascii="Arial" w:eastAsia="Calibri" w:hAnsi="Arial" w:cs="Arial"/>
          <w:bCs/>
          <w:sz w:val="20"/>
          <w:szCs w:val="20"/>
          <w:lang w:eastAsia="de-DE"/>
        </w:rPr>
      </w:pPr>
    </w:p>
    <w:p w:rsidR="00A36FB9" w:rsidRPr="000668A6" w:rsidRDefault="000668A6" w:rsidP="000668A6">
      <w:pPr>
        <w:jc w:val="center"/>
        <w:rPr>
          <w:rFonts w:ascii="Arial" w:eastAsia="Calibri" w:hAnsi="Arial" w:cs="Arial"/>
          <w:b/>
          <w:bCs/>
          <w:lang w:eastAsia="de-DE"/>
        </w:rPr>
      </w:pPr>
      <w:r w:rsidRPr="000668A6">
        <w:rPr>
          <w:rFonts w:ascii="Arial" w:eastAsia="Calibri" w:hAnsi="Arial" w:cs="Arial"/>
          <w:b/>
          <w:bCs/>
          <w:lang w:eastAsia="de-DE"/>
        </w:rPr>
        <w:t>X.</w:t>
      </w:r>
    </w:p>
    <w:p w:rsidR="000668A6" w:rsidRPr="000668A6" w:rsidRDefault="000668A6" w:rsidP="000668A6">
      <w:pPr>
        <w:jc w:val="center"/>
        <w:rPr>
          <w:rFonts w:ascii="Arial" w:eastAsia="Calibri" w:hAnsi="Arial" w:cs="Arial"/>
          <w:b/>
          <w:bCs/>
          <w:lang w:eastAsia="de-DE"/>
        </w:rPr>
      </w:pPr>
      <w:r w:rsidRPr="000668A6">
        <w:rPr>
          <w:rFonts w:ascii="Arial" w:eastAsia="Calibri" w:hAnsi="Arial" w:cs="Arial"/>
          <w:b/>
          <w:bCs/>
          <w:lang w:eastAsia="de-DE"/>
        </w:rPr>
        <w:t>Bundesarbeitsgericht</w:t>
      </w:r>
    </w:p>
    <w:p w:rsidR="000668A6" w:rsidRPr="000668A6" w:rsidRDefault="000668A6" w:rsidP="000668A6">
      <w:pPr>
        <w:jc w:val="center"/>
        <w:rPr>
          <w:rFonts w:ascii="Arial" w:eastAsia="Calibri" w:hAnsi="Arial" w:cs="Arial"/>
          <w:bCs/>
          <w:lang w:eastAsia="de-DE"/>
        </w:rPr>
      </w:pPr>
      <w:r w:rsidRPr="000668A6">
        <w:rPr>
          <w:rFonts w:ascii="Arial" w:eastAsia="Calibri" w:hAnsi="Arial" w:cs="Arial"/>
          <w:bCs/>
          <w:lang w:eastAsia="de-DE"/>
        </w:rPr>
        <w:t>Beschluss vom 21. April 2026 - 1 ABR 10/25</w:t>
      </w:r>
    </w:p>
    <w:p w:rsidR="00A36FB9" w:rsidRDefault="00A36FB9" w:rsidP="00E930BE">
      <w:pPr>
        <w:rPr>
          <w:rFonts w:ascii="Arial" w:eastAsia="Calibri" w:hAnsi="Arial" w:cs="Arial"/>
          <w:bCs/>
          <w:sz w:val="20"/>
          <w:szCs w:val="20"/>
          <w:lang w:eastAsia="de-DE"/>
        </w:rPr>
      </w:pPr>
    </w:p>
    <w:p w:rsidR="000668A6" w:rsidRPr="000668A6" w:rsidRDefault="000668A6" w:rsidP="00E930BE">
      <w:pPr>
        <w:rPr>
          <w:rFonts w:ascii="Arial" w:eastAsia="Calibri" w:hAnsi="Arial" w:cs="Arial"/>
          <w:b/>
          <w:bCs/>
          <w:sz w:val="20"/>
          <w:szCs w:val="20"/>
          <w:u w:val="single"/>
          <w:lang w:eastAsia="de-DE"/>
        </w:rPr>
      </w:pPr>
      <w:r w:rsidRPr="000668A6">
        <w:rPr>
          <w:rFonts w:ascii="Arial" w:eastAsia="Calibri" w:hAnsi="Arial" w:cs="Arial"/>
          <w:b/>
          <w:bCs/>
          <w:sz w:val="20"/>
          <w:szCs w:val="20"/>
          <w:u w:val="single"/>
          <w:lang w:eastAsia="de-DE"/>
        </w:rPr>
        <w:t>Schlagworte/Normen:</w:t>
      </w:r>
    </w:p>
    <w:p w:rsidR="000668A6" w:rsidRPr="000668A6" w:rsidRDefault="000668A6" w:rsidP="000668A6">
      <w:pPr>
        <w:rPr>
          <w:rFonts w:ascii="Arial" w:eastAsia="Calibri" w:hAnsi="Arial" w:cs="Arial"/>
          <w:b/>
          <w:bCs/>
          <w:sz w:val="20"/>
          <w:szCs w:val="20"/>
          <w:lang w:eastAsia="de-DE"/>
        </w:rPr>
      </w:pPr>
      <w:r w:rsidRPr="000668A6">
        <w:rPr>
          <w:rFonts w:ascii="Arial" w:eastAsia="Calibri" w:hAnsi="Arial" w:cs="Arial"/>
          <w:b/>
          <w:bCs/>
          <w:sz w:val="20"/>
          <w:szCs w:val="20"/>
          <w:lang w:eastAsia="de-DE"/>
        </w:rPr>
        <w:t>Unterlassungsanspruch - Versetzung - Zuweisung eines anderen Arbeitsbereichs</w:t>
      </w:r>
    </w:p>
    <w:p w:rsidR="000668A6" w:rsidRDefault="000668A6" w:rsidP="00E930BE">
      <w:pPr>
        <w:rPr>
          <w:rFonts w:ascii="Arial" w:eastAsia="Calibri" w:hAnsi="Arial" w:cs="Arial"/>
          <w:bCs/>
          <w:sz w:val="20"/>
          <w:szCs w:val="20"/>
          <w:lang w:eastAsia="de-DE"/>
        </w:rPr>
      </w:pPr>
    </w:p>
    <w:p w:rsidR="000668A6" w:rsidRPr="000668A6" w:rsidRDefault="000668A6" w:rsidP="00E930BE">
      <w:pPr>
        <w:rPr>
          <w:rFonts w:ascii="Arial" w:eastAsia="Calibri" w:hAnsi="Arial" w:cs="Arial"/>
          <w:b/>
          <w:bCs/>
          <w:sz w:val="20"/>
          <w:szCs w:val="20"/>
          <w:u w:val="single"/>
          <w:lang w:eastAsia="de-DE"/>
        </w:rPr>
      </w:pPr>
      <w:r w:rsidRPr="000668A6">
        <w:rPr>
          <w:rFonts w:ascii="Arial" w:eastAsia="Calibri" w:hAnsi="Arial" w:cs="Arial"/>
          <w:b/>
          <w:bCs/>
          <w:sz w:val="20"/>
          <w:szCs w:val="20"/>
          <w:u w:val="single"/>
          <w:lang w:eastAsia="de-DE"/>
        </w:rPr>
        <w:t>Siehe:</w:t>
      </w:r>
    </w:p>
    <w:p w:rsidR="00582154" w:rsidRPr="002C1186" w:rsidRDefault="00B15653" w:rsidP="00582154">
      <w:pPr>
        <w:rPr>
          <w:rFonts w:ascii="Arial" w:hAnsi="Arial" w:cs="Arial"/>
          <w:sz w:val="18"/>
          <w:szCs w:val="18"/>
        </w:rPr>
      </w:pPr>
      <w:hyperlink r:id="rId17" w:history="1">
        <w:r w:rsidR="00582154" w:rsidRPr="002C1186">
          <w:rPr>
            <w:rStyle w:val="Hyperlink"/>
            <w:rFonts w:ascii="Arial" w:hAnsi="Arial" w:cs="Arial"/>
            <w:color w:val="auto"/>
            <w:sz w:val="18"/>
            <w:szCs w:val="18"/>
          </w:rPr>
          <w:t>https://www.bundesarbeitsgericht.de/wp-content/uploads/2026/09/1-ABR-10-25.pdf</w:t>
        </w:r>
      </w:hyperlink>
    </w:p>
    <w:p w:rsidR="00A36FB9" w:rsidRDefault="00A36FB9" w:rsidP="00E930BE">
      <w:pPr>
        <w:rPr>
          <w:rFonts w:ascii="Arial" w:eastAsia="Calibri" w:hAnsi="Arial" w:cs="Arial"/>
          <w:bCs/>
          <w:sz w:val="20"/>
          <w:szCs w:val="20"/>
          <w:lang w:eastAsia="de-DE"/>
        </w:rPr>
      </w:pPr>
    </w:p>
    <w:p w:rsidR="00A36FB9" w:rsidRPr="004C131D" w:rsidRDefault="004C131D" w:rsidP="004C131D">
      <w:pPr>
        <w:jc w:val="center"/>
        <w:rPr>
          <w:rFonts w:ascii="Arial" w:eastAsia="Calibri" w:hAnsi="Arial" w:cs="Arial"/>
          <w:b/>
          <w:bCs/>
          <w:lang w:eastAsia="de-DE"/>
        </w:rPr>
      </w:pPr>
      <w:r w:rsidRPr="004C131D">
        <w:rPr>
          <w:rFonts w:ascii="Arial" w:eastAsia="Calibri" w:hAnsi="Arial" w:cs="Arial"/>
          <w:b/>
          <w:bCs/>
          <w:lang w:eastAsia="de-DE"/>
        </w:rPr>
        <w:t>XI.</w:t>
      </w:r>
    </w:p>
    <w:p w:rsidR="004C131D" w:rsidRPr="004C131D" w:rsidRDefault="004C131D" w:rsidP="004C131D">
      <w:pPr>
        <w:jc w:val="center"/>
        <w:rPr>
          <w:rFonts w:ascii="Arial" w:eastAsia="Calibri" w:hAnsi="Arial" w:cs="Arial"/>
          <w:b/>
          <w:bCs/>
          <w:lang w:eastAsia="de-DE"/>
        </w:rPr>
      </w:pPr>
      <w:r w:rsidRPr="004C131D">
        <w:rPr>
          <w:rFonts w:ascii="Arial" w:eastAsia="Calibri" w:hAnsi="Arial" w:cs="Arial"/>
          <w:b/>
          <w:bCs/>
          <w:lang w:eastAsia="de-DE"/>
        </w:rPr>
        <w:t>Bundesarbeitsgericht</w:t>
      </w:r>
    </w:p>
    <w:p w:rsidR="00582154" w:rsidRPr="004C131D" w:rsidRDefault="004C131D" w:rsidP="004C131D">
      <w:pPr>
        <w:jc w:val="center"/>
        <w:rPr>
          <w:rFonts w:ascii="Arial" w:eastAsia="Calibri" w:hAnsi="Arial" w:cs="Arial"/>
          <w:bCs/>
          <w:lang w:eastAsia="de-DE"/>
        </w:rPr>
      </w:pPr>
      <w:r w:rsidRPr="004C131D">
        <w:rPr>
          <w:rFonts w:ascii="Arial" w:eastAsia="Calibri" w:hAnsi="Arial" w:cs="Arial"/>
          <w:bCs/>
          <w:lang w:eastAsia="de-DE"/>
        </w:rPr>
        <w:t>Urteil vom 12. Mai 2026 - 3 AZR 140/25</w:t>
      </w:r>
    </w:p>
    <w:p w:rsidR="00582154" w:rsidRDefault="00582154" w:rsidP="00E930BE">
      <w:pPr>
        <w:rPr>
          <w:rFonts w:ascii="Arial" w:eastAsia="Calibri" w:hAnsi="Arial" w:cs="Arial"/>
          <w:bCs/>
          <w:sz w:val="20"/>
          <w:szCs w:val="20"/>
          <w:lang w:eastAsia="de-DE"/>
        </w:rPr>
      </w:pPr>
    </w:p>
    <w:p w:rsidR="00582154" w:rsidRPr="004C131D" w:rsidRDefault="004C131D" w:rsidP="00E930BE">
      <w:pPr>
        <w:rPr>
          <w:rFonts w:ascii="Arial" w:eastAsia="Calibri" w:hAnsi="Arial" w:cs="Arial"/>
          <w:b/>
          <w:bCs/>
          <w:sz w:val="20"/>
          <w:szCs w:val="20"/>
          <w:u w:val="single"/>
          <w:lang w:eastAsia="de-DE"/>
        </w:rPr>
      </w:pPr>
      <w:r w:rsidRPr="004C131D">
        <w:rPr>
          <w:rFonts w:ascii="Arial" w:eastAsia="Calibri" w:hAnsi="Arial" w:cs="Arial"/>
          <w:b/>
          <w:bCs/>
          <w:sz w:val="20"/>
          <w:szCs w:val="20"/>
          <w:u w:val="single"/>
          <w:lang w:eastAsia="de-DE"/>
        </w:rPr>
        <w:t>Schlagworte/Normen:</w:t>
      </w:r>
    </w:p>
    <w:p w:rsidR="00582154" w:rsidRPr="004C131D" w:rsidRDefault="004C131D" w:rsidP="00E930BE">
      <w:pPr>
        <w:rPr>
          <w:rFonts w:ascii="Arial" w:eastAsia="Calibri" w:hAnsi="Arial" w:cs="Arial"/>
          <w:b/>
          <w:bCs/>
          <w:sz w:val="20"/>
          <w:szCs w:val="20"/>
          <w:lang w:eastAsia="de-DE"/>
        </w:rPr>
      </w:pPr>
      <w:r w:rsidRPr="004C131D">
        <w:rPr>
          <w:rFonts w:ascii="Arial" w:eastAsia="Calibri" w:hAnsi="Arial" w:cs="Arial"/>
          <w:b/>
          <w:bCs/>
          <w:sz w:val="20"/>
          <w:szCs w:val="20"/>
          <w:lang w:eastAsia="de-DE"/>
        </w:rPr>
        <w:t>Versorgungstarifvertrag - Berechnung von Rentenbausteinen</w:t>
      </w:r>
    </w:p>
    <w:p w:rsidR="004C131D" w:rsidRPr="004C131D" w:rsidRDefault="004C131D" w:rsidP="004C131D">
      <w:pPr>
        <w:rPr>
          <w:rFonts w:ascii="Arial" w:hAnsi="Arial" w:cs="Arial"/>
          <w:sz w:val="20"/>
          <w:szCs w:val="20"/>
        </w:rPr>
      </w:pPr>
    </w:p>
    <w:p w:rsidR="004C131D" w:rsidRPr="004C131D" w:rsidRDefault="004C131D" w:rsidP="004C131D">
      <w:pPr>
        <w:rPr>
          <w:rFonts w:ascii="Arial" w:hAnsi="Arial" w:cs="Arial"/>
          <w:b/>
          <w:sz w:val="20"/>
          <w:szCs w:val="20"/>
          <w:u w:val="single"/>
        </w:rPr>
      </w:pPr>
      <w:r w:rsidRPr="004C131D">
        <w:rPr>
          <w:rFonts w:ascii="Arial" w:hAnsi="Arial" w:cs="Arial"/>
          <w:b/>
          <w:sz w:val="20"/>
          <w:szCs w:val="20"/>
          <w:u w:val="single"/>
        </w:rPr>
        <w:t>Siehe:</w:t>
      </w:r>
    </w:p>
    <w:p w:rsidR="004C131D" w:rsidRPr="002C1186" w:rsidRDefault="00B15653" w:rsidP="004C131D">
      <w:pPr>
        <w:rPr>
          <w:rFonts w:ascii="Arial" w:hAnsi="Arial" w:cs="Arial"/>
          <w:sz w:val="18"/>
          <w:szCs w:val="18"/>
        </w:rPr>
      </w:pPr>
      <w:hyperlink r:id="rId18" w:history="1">
        <w:r w:rsidR="004C131D" w:rsidRPr="002C1186">
          <w:rPr>
            <w:rStyle w:val="Hyperlink"/>
            <w:rFonts w:ascii="Arial" w:hAnsi="Arial" w:cs="Arial"/>
            <w:color w:val="auto"/>
            <w:sz w:val="18"/>
            <w:szCs w:val="18"/>
          </w:rPr>
          <w:t>https://www.bundesarbeitsgericht.de/wp-content/uploads/2026/09/3-AZR-140-25.pdf</w:t>
        </w:r>
      </w:hyperlink>
    </w:p>
    <w:p w:rsidR="00582154" w:rsidRDefault="00582154" w:rsidP="00E930BE">
      <w:pPr>
        <w:rPr>
          <w:rFonts w:ascii="Arial" w:eastAsia="Calibri" w:hAnsi="Arial" w:cs="Arial"/>
          <w:bCs/>
          <w:sz w:val="20"/>
          <w:szCs w:val="20"/>
          <w:lang w:eastAsia="de-DE"/>
        </w:rPr>
      </w:pPr>
    </w:p>
    <w:p w:rsidR="00D461C5" w:rsidRDefault="00D461C5" w:rsidP="00E930BE">
      <w:pPr>
        <w:rPr>
          <w:rFonts w:ascii="Arial" w:eastAsia="Calibri" w:hAnsi="Arial" w:cs="Arial"/>
          <w:bCs/>
          <w:sz w:val="20"/>
          <w:szCs w:val="20"/>
          <w:lang w:eastAsia="de-DE"/>
        </w:rPr>
      </w:pPr>
    </w:p>
    <w:p w:rsidR="00D461C5" w:rsidRDefault="00D461C5" w:rsidP="00E930BE">
      <w:pPr>
        <w:rPr>
          <w:rFonts w:ascii="Arial" w:eastAsia="Calibri" w:hAnsi="Arial" w:cs="Arial"/>
          <w:bCs/>
          <w:sz w:val="20"/>
          <w:szCs w:val="20"/>
          <w:lang w:eastAsia="de-DE"/>
        </w:rPr>
      </w:pPr>
    </w:p>
    <w:p w:rsidR="00582154" w:rsidRPr="00D461C5" w:rsidRDefault="00265575" w:rsidP="00D461C5">
      <w:pPr>
        <w:jc w:val="center"/>
        <w:rPr>
          <w:rFonts w:ascii="Arial" w:eastAsia="Calibri" w:hAnsi="Arial" w:cs="Arial"/>
          <w:b/>
          <w:bCs/>
          <w:lang w:eastAsia="de-DE"/>
        </w:rPr>
      </w:pPr>
      <w:r w:rsidRPr="00D461C5">
        <w:rPr>
          <w:rFonts w:ascii="Arial" w:eastAsia="Calibri" w:hAnsi="Arial" w:cs="Arial"/>
          <w:b/>
          <w:bCs/>
          <w:lang w:eastAsia="de-DE"/>
        </w:rPr>
        <w:lastRenderedPageBreak/>
        <w:t>XII.</w:t>
      </w:r>
    </w:p>
    <w:p w:rsidR="00265575" w:rsidRPr="00D461C5" w:rsidRDefault="00D461C5" w:rsidP="00D461C5">
      <w:pPr>
        <w:jc w:val="center"/>
        <w:rPr>
          <w:rFonts w:ascii="Arial" w:eastAsia="Calibri" w:hAnsi="Arial" w:cs="Arial"/>
          <w:b/>
          <w:bCs/>
          <w:lang w:eastAsia="de-DE"/>
        </w:rPr>
      </w:pPr>
      <w:r w:rsidRPr="00D461C5">
        <w:rPr>
          <w:rFonts w:ascii="Arial" w:eastAsia="Calibri" w:hAnsi="Arial" w:cs="Arial"/>
          <w:b/>
          <w:bCs/>
          <w:lang w:eastAsia="de-DE"/>
        </w:rPr>
        <w:t>Bundesarbeitsgericht</w:t>
      </w:r>
    </w:p>
    <w:p w:rsidR="00D461C5" w:rsidRPr="00D461C5" w:rsidRDefault="00D461C5" w:rsidP="00D461C5">
      <w:pPr>
        <w:jc w:val="center"/>
        <w:rPr>
          <w:rFonts w:ascii="Arial" w:eastAsia="Calibri" w:hAnsi="Arial" w:cs="Arial"/>
          <w:bCs/>
          <w:lang w:eastAsia="de-DE"/>
        </w:rPr>
      </w:pPr>
      <w:r w:rsidRPr="00D461C5">
        <w:rPr>
          <w:rFonts w:ascii="Arial" w:eastAsia="Calibri" w:hAnsi="Arial" w:cs="Arial"/>
          <w:bCs/>
          <w:lang w:eastAsia="de-DE"/>
        </w:rPr>
        <w:t>Urteil vom 30.07.2026 - 2 AZR 91/24</w:t>
      </w:r>
    </w:p>
    <w:p w:rsidR="00D461C5" w:rsidRDefault="00D461C5" w:rsidP="00D461C5">
      <w:pPr>
        <w:jc w:val="both"/>
        <w:rPr>
          <w:rFonts w:ascii="Arial" w:eastAsia="Calibri" w:hAnsi="Arial" w:cs="Arial"/>
          <w:bCs/>
          <w:sz w:val="20"/>
          <w:szCs w:val="20"/>
          <w:lang w:eastAsia="de-DE"/>
        </w:rPr>
      </w:pPr>
    </w:p>
    <w:p w:rsidR="00582154" w:rsidRPr="00D461C5" w:rsidRDefault="00D461C5" w:rsidP="00D461C5">
      <w:pPr>
        <w:jc w:val="both"/>
        <w:rPr>
          <w:rFonts w:ascii="Arial" w:eastAsia="Calibri" w:hAnsi="Arial" w:cs="Arial"/>
          <w:b/>
          <w:bCs/>
          <w:sz w:val="20"/>
          <w:szCs w:val="20"/>
          <w:u w:val="single"/>
          <w:lang w:eastAsia="de-DE"/>
        </w:rPr>
      </w:pPr>
      <w:r w:rsidRPr="00D461C5">
        <w:rPr>
          <w:rFonts w:ascii="Arial" w:eastAsia="Calibri" w:hAnsi="Arial" w:cs="Arial"/>
          <w:b/>
          <w:bCs/>
          <w:sz w:val="20"/>
          <w:szCs w:val="20"/>
          <w:u w:val="single"/>
          <w:lang w:eastAsia="de-DE"/>
        </w:rPr>
        <w:t>Schlagworte/Normen:</w:t>
      </w:r>
    </w:p>
    <w:p w:rsidR="00582154" w:rsidRPr="00D461C5" w:rsidRDefault="00D461C5" w:rsidP="00D461C5">
      <w:pPr>
        <w:jc w:val="both"/>
        <w:rPr>
          <w:rFonts w:ascii="Arial" w:eastAsia="Calibri" w:hAnsi="Arial" w:cs="Arial"/>
          <w:b/>
          <w:bCs/>
          <w:sz w:val="20"/>
          <w:szCs w:val="20"/>
          <w:lang w:eastAsia="de-DE"/>
        </w:rPr>
      </w:pPr>
      <w:r w:rsidRPr="00D461C5">
        <w:rPr>
          <w:rFonts w:ascii="Arial" w:eastAsia="Calibri" w:hAnsi="Arial" w:cs="Arial"/>
          <w:b/>
          <w:bCs/>
          <w:sz w:val="20"/>
          <w:szCs w:val="20"/>
          <w:lang w:eastAsia="de-DE"/>
        </w:rPr>
        <w:t>Annahmeverzugslohn - Abbedingung - Rechtswahl</w:t>
      </w:r>
    </w:p>
    <w:p w:rsidR="002C1186" w:rsidRDefault="002C1186" w:rsidP="00D461C5">
      <w:pPr>
        <w:jc w:val="both"/>
        <w:rPr>
          <w:rFonts w:ascii="Arial" w:eastAsia="Calibri" w:hAnsi="Arial" w:cs="Arial"/>
          <w:bCs/>
          <w:sz w:val="20"/>
          <w:szCs w:val="20"/>
          <w:lang w:eastAsia="de-DE"/>
        </w:rPr>
      </w:pPr>
    </w:p>
    <w:p w:rsidR="002C1186" w:rsidRPr="00D461C5" w:rsidRDefault="00D461C5" w:rsidP="00D461C5">
      <w:pPr>
        <w:jc w:val="both"/>
        <w:rPr>
          <w:rFonts w:ascii="Arial" w:eastAsia="Calibri" w:hAnsi="Arial" w:cs="Arial"/>
          <w:b/>
          <w:bCs/>
          <w:sz w:val="20"/>
          <w:szCs w:val="20"/>
          <w:u w:val="single"/>
          <w:lang w:eastAsia="de-DE"/>
        </w:rPr>
      </w:pPr>
      <w:r w:rsidRPr="00D461C5">
        <w:rPr>
          <w:rFonts w:ascii="Arial" w:eastAsia="Calibri" w:hAnsi="Arial" w:cs="Arial"/>
          <w:b/>
          <w:bCs/>
          <w:sz w:val="20"/>
          <w:szCs w:val="20"/>
          <w:u w:val="single"/>
          <w:lang w:eastAsia="de-DE"/>
        </w:rPr>
        <w:t>Siehe:</w:t>
      </w:r>
    </w:p>
    <w:p w:rsidR="00D461C5" w:rsidRPr="00D461C5" w:rsidRDefault="00B15653" w:rsidP="00D461C5">
      <w:pPr>
        <w:jc w:val="both"/>
        <w:rPr>
          <w:rFonts w:ascii="Arial" w:hAnsi="Arial" w:cs="Arial"/>
          <w:sz w:val="18"/>
          <w:szCs w:val="18"/>
        </w:rPr>
      </w:pPr>
      <w:hyperlink r:id="rId19" w:history="1">
        <w:r w:rsidR="00D461C5" w:rsidRPr="00D461C5">
          <w:rPr>
            <w:rStyle w:val="Hyperlink"/>
            <w:rFonts w:ascii="Arial" w:hAnsi="Arial" w:cs="Arial"/>
            <w:color w:val="auto"/>
            <w:sz w:val="18"/>
            <w:szCs w:val="18"/>
          </w:rPr>
          <w:t>https://www.bundesarbeitsgericht.de/wp-content/uploads/2026/08/2-AZR-91-24.pdf</w:t>
        </w:r>
      </w:hyperlink>
    </w:p>
    <w:p w:rsidR="002C1186" w:rsidRDefault="002C1186" w:rsidP="00D461C5">
      <w:pPr>
        <w:jc w:val="both"/>
        <w:rPr>
          <w:rFonts w:ascii="Arial" w:eastAsia="Calibri" w:hAnsi="Arial" w:cs="Arial"/>
          <w:bCs/>
          <w:sz w:val="20"/>
          <w:szCs w:val="20"/>
          <w:lang w:eastAsia="de-DE"/>
        </w:rPr>
      </w:pPr>
    </w:p>
    <w:p w:rsidR="002C1186" w:rsidRPr="00D461C5" w:rsidRDefault="00D461C5" w:rsidP="00D461C5">
      <w:pPr>
        <w:jc w:val="center"/>
        <w:rPr>
          <w:rFonts w:ascii="Arial" w:eastAsia="Calibri" w:hAnsi="Arial" w:cs="Arial"/>
          <w:b/>
          <w:bCs/>
          <w:lang w:eastAsia="de-DE"/>
        </w:rPr>
      </w:pPr>
      <w:r w:rsidRPr="00D461C5">
        <w:rPr>
          <w:rFonts w:ascii="Arial" w:eastAsia="Calibri" w:hAnsi="Arial" w:cs="Arial"/>
          <w:b/>
          <w:bCs/>
          <w:lang w:eastAsia="de-DE"/>
        </w:rPr>
        <w:t>XIII.</w:t>
      </w:r>
    </w:p>
    <w:p w:rsidR="00D461C5" w:rsidRPr="00D461C5" w:rsidRDefault="00D461C5" w:rsidP="00D461C5">
      <w:pPr>
        <w:jc w:val="center"/>
        <w:rPr>
          <w:rFonts w:ascii="Arial" w:eastAsia="Calibri" w:hAnsi="Arial" w:cs="Arial"/>
          <w:b/>
          <w:bCs/>
          <w:lang w:eastAsia="de-DE"/>
        </w:rPr>
      </w:pPr>
      <w:r w:rsidRPr="00D461C5">
        <w:rPr>
          <w:rFonts w:ascii="Arial" w:eastAsia="Calibri" w:hAnsi="Arial" w:cs="Arial"/>
          <w:b/>
          <w:bCs/>
          <w:lang w:eastAsia="de-DE"/>
        </w:rPr>
        <w:t>Bundesarbeitsgericht</w:t>
      </w:r>
    </w:p>
    <w:p w:rsidR="00D461C5" w:rsidRPr="00D461C5" w:rsidRDefault="00D461C5" w:rsidP="00D461C5">
      <w:pPr>
        <w:jc w:val="center"/>
        <w:rPr>
          <w:rFonts w:ascii="Arial" w:eastAsia="Calibri" w:hAnsi="Arial" w:cs="Arial"/>
          <w:bCs/>
          <w:lang w:eastAsia="de-DE"/>
        </w:rPr>
      </w:pPr>
      <w:r w:rsidRPr="00D461C5">
        <w:rPr>
          <w:rFonts w:ascii="Arial" w:eastAsia="Calibri" w:hAnsi="Arial" w:cs="Arial"/>
          <w:bCs/>
          <w:lang w:eastAsia="de-DE"/>
        </w:rPr>
        <w:t>Urteil vom 16.04.2026 - 8 AZR 169/25</w:t>
      </w:r>
    </w:p>
    <w:p w:rsidR="002C1186" w:rsidRDefault="002C1186" w:rsidP="00E930BE">
      <w:pPr>
        <w:rPr>
          <w:rFonts w:ascii="Arial" w:eastAsia="Calibri" w:hAnsi="Arial" w:cs="Arial"/>
          <w:bCs/>
          <w:sz w:val="20"/>
          <w:szCs w:val="20"/>
          <w:lang w:eastAsia="de-DE"/>
        </w:rPr>
      </w:pPr>
    </w:p>
    <w:p w:rsidR="002C1186" w:rsidRPr="00D461C5" w:rsidRDefault="00D461C5" w:rsidP="00E930BE">
      <w:pPr>
        <w:rPr>
          <w:rFonts w:ascii="Arial" w:eastAsia="Calibri" w:hAnsi="Arial" w:cs="Arial"/>
          <w:b/>
          <w:bCs/>
          <w:sz w:val="20"/>
          <w:szCs w:val="20"/>
          <w:u w:val="single"/>
          <w:lang w:eastAsia="de-DE"/>
        </w:rPr>
      </w:pPr>
      <w:r w:rsidRPr="00D461C5">
        <w:rPr>
          <w:rFonts w:ascii="Arial" w:eastAsia="Calibri" w:hAnsi="Arial" w:cs="Arial"/>
          <w:b/>
          <w:bCs/>
          <w:sz w:val="20"/>
          <w:szCs w:val="20"/>
          <w:u w:val="single"/>
          <w:lang w:eastAsia="de-DE"/>
        </w:rPr>
        <w:t>Schlagworte/Normen:</w:t>
      </w:r>
    </w:p>
    <w:p w:rsidR="002C1186" w:rsidRPr="00D461C5" w:rsidRDefault="00D461C5" w:rsidP="00E930BE">
      <w:pPr>
        <w:rPr>
          <w:rFonts w:ascii="Arial" w:eastAsia="Calibri" w:hAnsi="Arial" w:cs="Arial"/>
          <w:b/>
          <w:bCs/>
          <w:sz w:val="20"/>
          <w:szCs w:val="20"/>
          <w:lang w:eastAsia="de-DE"/>
        </w:rPr>
      </w:pPr>
      <w:r w:rsidRPr="00D461C5">
        <w:rPr>
          <w:rFonts w:ascii="Arial" w:eastAsia="Calibri" w:hAnsi="Arial" w:cs="Arial"/>
          <w:b/>
          <w:bCs/>
          <w:sz w:val="20"/>
          <w:szCs w:val="20"/>
          <w:lang w:eastAsia="de-DE"/>
        </w:rPr>
        <w:t>Herausgabe der Kopie eines Compliance-Berichts</w:t>
      </w:r>
    </w:p>
    <w:p w:rsidR="002C1186" w:rsidRPr="00D461C5" w:rsidRDefault="002C1186" w:rsidP="00E930BE">
      <w:pPr>
        <w:rPr>
          <w:rFonts w:ascii="Arial" w:eastAsia="Calibri" w:hAnsi="Arial" w:cs="Arial"/>
          <w:bCs/>
          <w:sz w:val="20"/>
          <w:szCs w:val="20"/>
          <w:lang w:eastAsia="de-DE"/>
        </w:rPr>
      </w:pPr>
    </w:p>
    <w:p w:rsidR="002C1186" w:rsidRPr="00D461C5" w:rsidRDefault="00D461C5" w:rsidP="00E930BE">
      <w:pPr>
        <w:rPr>
          <w:rFonts w:ascii="Arial" w:eastAsia="Calibri" w:hAnsi="Arial" w:cs="Arial"/>
          <w:b/>
          <w:bCs/>
          <w:sz w:val="20"/>
          <w:szCs w:val="20"/>
          <w:u w:val="single"/>
          <w:lang w:eastAsia="de-DE"/>
        </w:rPr>
      </w:pPr>
      <w:r w:rsidRPr="00D461C5">
        <w:rPr>
          <w:rFonts w:ascii="Arial" w:eastAsia="Calibri" w:hAnsi="Arial" w:cs="Arial"/>
          <w:b/>
          <w:bCs/>
          <w:sz w:val="20"/>
          <w:szCs w:val="20"/>
          <w:u w:val="single"/>
          <w:lang w:eastAsia="de-DE"/>
        </w:rPr>
        <w:t>Leitsatz:</w:t>
      </w:r>
    </w:p>
    <w:p w:rsidR="002C1186" w:rsidRDefault="00D461C5" w:rsidP="00D461C5">
      <w:pPr>
        <w:rPr>
          <w:rFonts w:ascii="Arial" w:eastAsia="Calibri" w:hAnsi="Arial" w:cs="Arial"/>
          <w:bCs/>
          <w:sz w:val="20"/>
          <w:szCs w:val="20"/>
          <w:lang w:eastAsia="de-DE"/>
        </w:rPr>
      </w:pPr>
      <w:r w:rsidRPr="00D461C5">
        <w:rPr>
          <w:rFonts w:ascii="Arial" w:eastAsia="Calibri" w:hAnsi="Arial" w:cs="Arial"/>
          <w:bCs/>
          <w:sz w:val="20"/>
          <w:szCs w:val="20"/>
          <w:lang w:eastAsia="de-DE"/>
        </w:rPr>
        <w:t xml:space="preserve">Das einheitliche Auskunftsrecht nach Art. 15 Abs. 1 </w:t>
      </w:r>
      <w:proofErr w:type="spellStart"/>
      <w:r w:rsidRPr="00D461C5">
        <w:rPr>
          <w:rFonts w:ascii="Arial" w:eastAsia="Calibri" w:hAnsi="Arial" w:cs="Arial"/>
          <w:bCs/>
          <w:sz w:val="20"/>
          <w:szCs w:val="20"/>
          <w:lang w:eastAsia="de-DE"/>
        </w:rPr>
        <w:t>iVm</w:t>
      </w:r>
      <w:proofErr w:type="spellEnd"/>
      <w:r w:rsidRPr="00D461C5">
        <w:rPr>
          <w:rFonts w:ascii="Arial" w:eastAsia="Calibri" w:hAnsi="Arial" w:cs="Arial"/>
          <w:bCs/>
          <w:sz w:val="20"/>
          <w:szCs w:val="20"/>
          <w:lang w:eastAsia="de-DE"/>
        </w:rPr>
        <w:t>. Abs. 3 Satz 1</w:t>
      </w:r>
      <w:r>
        <w:rPr>
          <w:rFonts w:ascii="Arial" w:eastAsia="Calibri" w:hAnsi="Arial" w:cs="Arial"/>
          <w:bCs/>
          <w:sz w:val="20"/>
          <w:szCs w:val="20"/>
          <w:lang w:eastAsia="de-DE"/>
        </w:rPr>
        <w:t xml:space="preserve"> </w:t>
      </w:r>
      <w:r w:rsidRPr="00D461C5">
        <w:rPr>
          <w:rFonts w:ascii="Arial" w:eastAsia="Calibri" w:hAnsi="Arial" w:cs="Arial"/>
          <w:bCs/>
          <w:sz w:val="20"/>
          <w:szCs w:val="20"/>
          <w:lang w:eastAsia="de-DE"/>
        </w:rPr>
        <w:t>DSGVO bezieht sich grundsätzlich nur auf die in einem Dokument enthaltenen personenbezogenen Daten und nicht auf das gesamte Dokumen</w:t>
      </w:r>
      <w:r>
        <w:rPr>
          <w:rFonts w:ascii="Arial" w:eastAsia="Calibri" w:hAnsi="Arial" w:cs="Arial"/>
          <w:bCs/>
          <w:sz w:val="20"/>
          <w:szCs w:val="20"/>
          <w:lang w:eastAsia="de-DE"/>
        </w:rPr>
        <w:t>t.</w:t>
      </w:r>
    </w:p>
    <w:p w:rsidR="002C1186" w:rsidRDefault="002C1186" w:rsidP="00E930BE">
      <w:pPr>
        <w:rPr>
          <w:rFonts w:ascii="Arial" w:eastAsia="Calibri" w:hAnsi="Arial" w:cs="Arial"/>
          <w:bCs/>
          <w:sz w:val="20"/>
          <w:szCs w:val="20"/>
          <w:lang w:eastAsia="de-DE"/>
        </w:rPr>
      </w:pPr>
    </w:p>
    <w:p w:rsidR="002C1186" w:rsidRPr="00D461C5" w:rsidRDefault="00D461C5" w:rsidP="00E930BE">
      <w:pPr>
        <w:rPr>
          <w:rFonts w:ascii="Arial" w:eastAsia="Calibri" w:hAnsi="Arial" w:cs="Arial"/>
          <w:b/>
          <w:bCs/>
          <w:sz w:val="20"/>
          <w:szCs w:val="20"/>
          <w:u w:val="single"/>
          <w:lang w:eastAsia="de-DE"/>
        </w:rPr>
      </w:pPr>
      <w:r w:rsidRPr="00D461C5">
        <w:rPr>
          <w:rFonts w:ascii="Arial" w:eastAsia="Calibri" w:hAnsi="Arial" w:cs="Arial"/>
          <w:b/>
          <w:bCs/>
          <w:sz w:val="20"/>
          <w:szCs w:val="20"/>
          <w:u w:val="single"/>
          <w:lang w:eastAsia="de-DE"/>
        </w:rPr>
        <w:t>Siehe:</w:t>
      </w:r>
    </w:p>
    <w:p w:rsidR="00D461C5" w:rsidRPr="00D461C5" w:rsidRDefault="00B15653" w:rsidP="00D461C5">
      <w:pPr>
        <w:rPr>
          <w:rFonts w:ascii="Arial" w:hAnsi="Arial" w:cs="Arial"/>
          <w:sz w:val="18"/>
          <w:szCs w:val="18"/>
        </w:rPr>
      </w:pPr>
      <w:hyperlink r:id="rId20" w:history="1">
        <w:r w:rsidR="00D461C5" w:rsidRPr="00D461C5">
          <w:rPr>
            <w:rStyle w:val="Hyperlink"/>
            <w:rFonts w:ascii="Arial" w:hAnsi="Arial" w:cs="Arial"/>
            <w:color w:val="auto"/>
            <w:sz w:val="18"/>
            <w:szCs w:val="18"/>
          </w:rPr>
          <w:t>https://www.bundesarbeitsgericht.de/wp-content/uploads/2026/08/8-AZR-169-25.pdf</w:t>
        </w:r>
      </w:hyperlink>
    </w:p>
    <w:p w:rsidR="002C1186" w:rsidRDefault="002C1186" w:rsidP="00E930BE">
      <w:pPr>
        <w:rPr>
          <w:rFonts w:ascii="Arial" w:eastAsia="Calibri" w:hAnsi="Arial" w:cs="Arial"/>
          <w:bCs/>
          <w:sz w:val="20"/>
          <w:szCs w:val="20"/>
          <w:lang w:eastAsia="de-DE"/>
        </w:rPr>
      </w:pPr>
    </w:p>
    <w:p w:rsidR="00582154" w:rsidRPr="007A39D8" w:rsidRDefault="00D461C5" w:rsidP="007A39D8">
      <w:pPr>
        <w:jc w:val="center"/>
        <w:rPr>
          <w:rFonts w:ascii="Arial" w:eastAsia="Calibri" w:hAnsi="Arial" w:cs="Arial"/>
          <w:b/>
          <w:bCs/>
          <w:lang w:eastAsia="de-DE"/>
        </w:rPr>
      </w:pPr>
      <w:r w:rsidRPr="007A39D8">
        <w:rPr>
          <w:rFonts w:ascii="Arial" w:eastAsia="Calibri" w:hAnsi="Arial" w:cs="Arial"/>
          <w:b/>
          <w:bCs/>
          <w:lang w:eastAsia="de-DE"/>
        </w:rPr>
        <w:t>X</w:t>
      </w:r>
      <w:r w:rsidR="007A39D8" w:rsidRPr="007A39D8">
        <w:rPr>
          <w:rFonts w:ascii="Arial" w:eastAsia="Calibri" w:hAnsi="Arial" w:cs="Arial"/>
          <w:b/>
          <w:bCs/>
          <w:lang w:eastAsia="de-DE"/>
        </w:rPr>
        <w:t>IV.</w:t>
      </w:r>
    </w:p>
    <w:p w:rsidR="007A39D8" w:rsidRPr="007A39D8" w:rsidRDefault="007A39D8" w:rsidP="007A39D8">
      <w:pPr>
        <w:jc w:val="center"/>
        <w:rPr>
          <w:rFonts w:ascii="Arial" w:eastAsia="Calibri" w:hAnsi="Arial" w:cs="Arial"/>
          <w:b/>
          <w:bCs/>
          <w:lang w:eastAsia="de-DE"/>
        </w:rPr>
      </w:pPr>
      <w:r w:rsidRPr="007A39D8">
        <w:rPr>
          <w:rFonts w:ascii="Arial" w:eastAsia="Calibri" w:hAnsi="Arial" w:cs="Arial"/>
          <w:b/>
          <w:bCs/>
          <w:lang w:eastAsia="de-DE"/>
        </w:rPr>
        <w:t>Bundesarbeitsgericht</w:t>
      </w:r>
    </w:p>
    <w:p w:rsidR="00582154" w:rsidRPr="007A39D8" w:rsidRDefault="007A39D8" w:rsidP="007A39D8">
      <w:pPr>
        <w:jc w:val="center"/>
        <w:rPr>
          <w:rFonts w:ascii="Arial" w:eastAsia="Calibri" w:hAnsi="Arial" w:cs="Arial"/>
          <w:bCs/>
          <w:lang w:eastAsia="de-DE"/>
        </w:rPr>
      </w:pPr>
      <w:r w:rsidRPr="007A39D8">
        <w:rPr>
          <w:rFonts w:ascii="Arial" w:eastAsia="Calibri" w:hAnsi="Arial" w:cs="Arial"/>
          <w:bCs/>
          <w:lang w:eastAsia="de-DE"/>
        </w:rPr>
        <w:t>Urteil vom 20. Mai 2026 - 10 AZR 88/25</w:t>
      </w:r>
    </w:p>
    <w:p w:rsidR="00582154" w:rsidRDefault="00582154" w:rsidP="00E930BE">
      <w:pPr>
        <w:rPr>
          <w:rFonts w:ascii="Arial" w:eastAsia="Calibri" w:hAnsi="Arial" w:cs="Arial"/>
          <w:bCs/>
          <w:sz w:val="20"/>
          <w:szCs w:val="20"/>
          <w:lang w:eastAsia="de-DE"/>
        </w:rPr>
      </w:pPr>
    </w:p>
    <w:p w:rsidR="007A39D8" w:rsidRPr="007A39D8" w:rsidRDefault="007A39D8" w:rsidP="00E930BE">
      <w:pPr>
        <w:rPr>
          <w:rFonts w:ascii="Arial" w:eastAsia="Calibri" w:hAnsi="Arial" w:cs="Arial"/>
          <w:b/>
          <w:bCs/>
          <w:sz w:val="20"/>
          <w:szCs w:val="20"/>
          <w:u w:val="single"/>
          <w:lang w:eastAsia="de-DE"/>
        </w:rPr>
      </w:pPr>
      <w:r w:rsidRPr="007A39D8">
        <w:rPr>
          <w:rFonts w:ascii="Arial" w:eastAsia="Calibri" w:hAnsi="Arial" w:cs="Arial"/>
          <w:b/>
          <w:bCs/>
          <w:sz w:val="20"/>
          <w:szCs w:val="20"/>
          <w:u w:val="single"/>
          <w:lang w:eastAsia="de-DE"/>
        </w:rPr>
        <w:t>Schlagworte/Normen:</w:t>
      </w:r>
    </w:p>
    <w:p w:rsidR="007A39D8" w:rsidRPr="007A39D8" w:rsidRDefault="007A39D8" w:rsidP="007A39D8">
      <w:pPr>
        <w:rPr>
          <w:rFonts w:ascii="Arial" w:eastAsia="Calibri" w:hAnsi="Arial" w:cs="Arial"/>
          <w:b/>
          <w:bCs/>
          <w:sz w:val="20"/>
          <w:szCs w:val="20"/>
          <w:lang w:eastAsia="de-DE"/>
        </w:rPr>
      </w:pPr>
      <w:r w:rsidRPr="007A39D8">
        <w:rPr>
          <w:rFonts w:ascii="Arial" w:eastAsia="Calibri" w:hAnsi="Arial" w:cs="Arial"/>
          <w:b/>
          <w:bCs/>
          <w:sz w:val="20"/>
          <w:szCs w:val="20"/>
          <w:lang w:eastAsia="de-DE"/>
        </w:rPr>
        <w:t xml:space="preserve">Variable Vergütung - verspätete Zielvorgabe - Schadensersatz </w:t>
      </w:r>
      <w:r>
        <w:rPr>
          <w:rFonts w:ascii="Arial" w:eastAsia="Calibri" w:hAnsi="Arial" w:cs="Arial"/>
          <w:b/>
          <w:bCs/>
          <w:sz w:val="20"/>
          <w:szCs w:val="20"/>
          <w:lang w:eastAsia="de-DE"/>
        </w:rPr>
        <w:t>–</w:t>
      </w:r>
      <w:r w:rsidRPr="007A39D8">
        <w:rPr>
          <w:rFonts w:ascii="Arial" w:eastAsia="Calibri" w:hAnsi="Arial" w:cs="Arial"/>
          <w:b/>
          <w:bCs/>
          <w:sz w:val="20"/>
          <w:szCs w:val="20"/>
          <w:lang w:eastAsia="de-DE"/>
        </w:rPr>
        <w:t xml:space="preserve"> materielle</w:t>
      </w:r>
      <w:r>
        <w:rPr>
          <w:rFonts w:ascii="Arial" w:eastAsia="Calibri" w:hAnsi="Arial" w:cs="Arial"/>
          <w:b/>
          <w:bCs/>
          <w:sz w:val="20"/>
          <w:szCs w:val="20"/>
          <w:lang w:eastAsia="de-DE"/>
        </w:rPr>
        <w:t xml:space="preserve"> </w:t>
      </w:r>
      <w:r w:rsidRPr="007A39D8">
        <w:rPr>
          <w:rFonts w:ascii="Arial" w:eastAsia="Calibri" w:hAnsi="Arial" w:cs="Arial"/>
          <w:b/>
          <w:bCs/>
          <w:sz w:val="20"/>
          <w:szCs w:val="20"/>
          <w:lang w:eastAsia="de-DE"/>
        </w:rPr>
        <w:t>Präklusionswirkung eines Vorprozesses über den Erfüllungsanspruch</w:t>
      </w:r>
    </w:p>
    <w:p w:rsidR="007A39D8" w:rsidRDefault="007A39D8" w:rsidP="00E930BE">
      <w:pPr>
        <w:rPr>
          <w:rFonts w:ascii="Arial" w:eastAsia="Calibri" w:hAnsi="Arial" w:cs="Arial"/>
          <w:bCs/>
          <w:sz w:val="20"/>
          <w:szCs w:val="20"/>
          <w:lang w:eastAsia="de-DE"/>
        </w:rPr>
      </w:pPr>
    </w:p>
    <w:p w:rsidR="007A39D8" w:rsidRPr="007A39D8" w:rsidRDefault="007A39D8" w:rsidP="00E930BE">
      <w:pPr>
        <w:rPr>
          <w:rFonts w:ascii="Arial" w:eastAsia="Calibri" w:hAnsi="Arial" w:cs="Arial"/>
          <w:b/>
          <w:bCs/>
          <w:sz w:val="20"/>
          <w:szCs w:val="20"/>
          <w:u w:val="single"/>
          <w:lang w:eastAsia="de-DE"/>
        </w:rPr>
      </w:pPr>
      <w:r w:rsidRPr="007A39D8">
        <w:rPr>
          <w:rFonts w:ascii="Arial" w:eastAsia="Calibri" w:hAnsi="Arial" w:cs="Arial"/>
          <w:b/>
          <w:bCs/>
          <w:sz w:val="20"/>
          <w:szCs w:val="20"/>
          <w:u w:val="single"/>
          <w:lang w:eastAsia="de-DE"/>
        </w:rPr>
        <w:t>Siehe:</w:t>
      </w:r>
    </w:p>
    <w:p w:rsidR="007A39D8" w:rsidRPr="007A39D8" w:rsidRDefault="00B15653" w:rsidP="007A39D8">
      <w:pPr>
        <w:rPr>
          <w:rFonts w:ascii="Arial" w:hAnsi="Arial" w:cs="Arial"/>
          <w:sz w:val="18"/>
          <w:szCs w:val="18"/>
        </w:rPr>
      </w:pPr>
      <w:hyperlink r:id="rId21" w:history="1">
        <w:r w:rsidR="007A39D8" w:rsidRPr="007A39D8">
          <w:rPr>
            <w:rStyle w:val="Hyperlink"/>
            <w:rFonts w:ascii="Arial" w:hAnsi="Arial" w:cs="Arial"/>
            <w:color w:val="auto"/>
            <w:sz w:val="18"/>
            <w:szCs w:val="18"/>
          </w:rPr>
          <w:t>https://www.bundesarbeitsgericht.de/wp-content/uploads/2026/08/10-AZR-88-25.pdf</w:t>
        </w:r>
      </w:hyperlink>
    </w:p>
    <w:p w:rsidR="007A39D8" w:rsidRDefault="007A39D8" w:rsidP="00E930BE">
      <w:pPr>
        <w:rPr>
          <w:rFonts w:ascii="Arial" w:eastAsia="Calibri" w:hAnsi="Arial" w:cs="Arial"/>
          <w:bCs/>
          <w:sz w:val="20"/>
          <w:szCs w:val="20"/>
          <w:lang w:eastAsia="de-DE"/>
        </w:rPr>
      </w:pPr>
    </w:p>
    <w:p w:rsidR="007A39D8" w:rsidRPr="007A39D8" w:rsidRDefault="007A39D8" w:rsidP="007A39D8">
      <w:pPr>
        <w:jc w:val="center"/>
        <w:rPr>
          <w:rFonts w:ascii="Arial" w:eastAsia="Calibri" w:hAnsi="Arial" w:cs="Arial"/>
          <w:b/>
          <w:bCs/>
          <w:lang w:eastAsia="de-DE"/>
        </w:rPr>
      </w:pPr>
      <w:r w:rsidRPr="007A39D8">
        <w:rPr>
          <w:rFonts w:ascii="Arial" w:eastAsia="Calibri" w:hAnsi="Arial" w:cs="Arial"/>
          <w:b/>
          <w:bCs/>
          <w:lang w:eastAsia="de-DE"/>
        </w:rPr>
        <w:t>XV.</w:t>
      </w:r>
    </w:p>
    <w:p w:rsidR="007A39D8" w:rsidRPr="007A39D8" w:rsidRDefault="007A39D8" w:rsidP="007A39D8">
      <w:pPr>
        <w:jc w:val="center"/>
        <w:rPr>
          <w:rFonts w:ascii="Arial" w:eastAsia="Calibri" w:hAnsi="Arial" w:cs="Arial"/>
          <w:b/>
          <w:bCs/>
          <w:lang w:eastAsia="de-DE"/>
        </w:rPr>
      </w:pPr>
      <w:r w:rsidRPr="007A39D8">
        <w:rPr>
          <w:rFonts w:ascii="Arial" w:eastAsia="Calibri" w:hAnsi="Arial" w:cs="Arial"/>
          <w:b/>
          <w:bCs/>
          <w:lang w:eastAsia="de-DE"/>
        </w:rPr>
        <w:t>Bundesarbeitsgericht</w:t>
      </w:r>
    </w:p>
    <w:p w:rsidR="007A39D8" w:rsidRPr="007A39D8" w:rsidRDefault="007A39D8" w:rsidP="007A39D8">
      <w:pPr>
        <w:jc w:val="center"/>
        <w:rPr>
          <w:rFonts w:ascii="Arial" w:eastAsia="Calibri" w:hAnsi="Arial" w:cs="Arial"/>
          <w:bCs/>
          <w:lang w:eastAsia="de-DE"/>
        </w:rPr>
      </w:pPr>
      <w:r w:rsidRPr="007A39D8">
        <w:rPr>
          <w:rFonts w:ascii="Arial" w:eastAsia="Calibri" w:hAnsi="Arial" w:cs="Arial"/>
          <w:bCs/>
          <w:lang w:eastAsia="de-DE"/>
        </w:rPr>
        <w:t>Urteil vom 17. März 2026 - 9 AZR 193/25</w:t>
      </w:r>
    </w:p>
    <w:p w:rsidR="007A39D8" w:rsidRDefault="007A39D8" w:rsidP="00E930BE">
      <w:pPr>
        <w:rPr>
          <w:rFonts w:ascii="Arial" w:eastAsia="Calibri" w:hAnsi="Arial" w:cs="Arial"/>
          <w:bCs/>
          <w:sz w:val="20"/>
          <w:szCs w:val="20"/>
          <w:lang w:eastAsia="de-DE"/>
        </w:rPr>
      </w:pPr>
    </w:p>
    <w:p w:rsidR="007A39D8" w:rsidRPr="007A39D8" w:rsidRDefault="007A39D8" w:rsidP="00E930BE">
      <w:pPr>
        <w:rPr>
          <w:rFonts w:ascii="Arial" w:eastAsia="Calibri" w:hAnsi="Arial" w:cs="Arial"/>
          <w:b/>
          <w:bCs/>
          <w:sz w:val="20"/>
          <w:szCs w:val="20"/>
          <w:u w:val="single"/>
          <w:lang w:eastAsia="de-DE"/>
        </w:rPr>
      </w:pPr>
      <w:r w:rsidRPr="007A39D8">
        <w:rPr>
          <w:rFonts w:ascii="Arial" w:eastAsia="Calibri" w:hAnsi="Arial" w:cs="Arial"/>
          <w:b/>
          <w:bCs/>
          <w:sz w:val="20"/>
          <w:szCs w:val="20"/>
          <w:u w:val="single"/>
          <w:lang w:eastAsia="de-DE"/>
        </w:rPr>
        <w:t>Schlagworte/Normen:</w:t>
      </w:r>
    </w:p>
    <w:p w:rsidR="007A39D8" w:rsidRPr="007A39D8" w:rsidRDefault="007A39D8" w:rsidP="00E930BE">
      <w:pPr>
        <w:rPr>
          <w:rFonts w:ascii="Arial" w:eastAsia="Calibri" w:hAnsi="Arial" w:cs="Arial"/>
          <w:b/>
          <w:bCs/>
          <w:sz w:val="20"/>
          <w:szCs w:val="20"/>
          <w:lang w:eastAsia="de-DE"/>
        </w:rPr>
      </w:pPr>
      <w:r w:rsidRPr="007A39D8">
        <w:rPr>
          <w:rFonts w:ascii="Arial" w:eastAsia="Calibri" w:hAnsi="Arial" w:cs="Arial"/>
          <w:b/>
          <w:bCs/>
          <w:sz w:val="20"/>
          <w:szCs w:val="20"/>
          <w:lang w:eastAsia="de-DE"/>
        </w:rPr>
        <w:t>Inflationsausgleichsprämie - Altersteilzeit</w:t>
      </w:r>
    </w:p>
    <w:p w:rsidR="007A39D8" w:rsidRPr="007A39D8" w:rsidRDefault="007A39D8" w:rsidP="00E930BE">
      <w:pPr>
        <w:rPr>
          <w:rFonts w:ascii="Arial" w:eastAsia="Calibri" w:hAnsi="Arial" w:cs="Arial"/>
          <w:b/>
          <w:bCs/>
          <w:sz w:val="20"/>
          <w:szCs w:val="20"/>
          <w:lang w:eastAsia="de-DE"/>
        </w:rPr>
      </w:pPr>
    </w:p>
    <w:p w:rsidR="007A39D8" w:rsidRPr="007A39D8" w:rsidRDefault="007A39D8" w:rsidP="00E930BE">
      <w:pPr>
        <w:rPr>
          <w:rFonts w:ascii="Arial" w:eastAsia="Calibri" w:hAnsi="Arial" w:cs="Arial"/>
          <w:b/>
          <w:bCs/>
          <w:sz w:val="20"/>
          <w:szCs w:val="20"/>
          <w:u w:val="single"/>
          <w:lang w:eastAsia="de-DE"/>
        </w:rPr>
      </w:pPr>
      <w:r w:rsidRPr="007A39D8">
        <w:rPr>
          <w:rFonts w:ascii="Arial" w:eastAsia="Calibri" w:hAnsi="Arial" w:cs="Arial"/>
          <w:b/>
          <w:bCs/>
          <w:sz w:val="20"/>
          <w:szCs w:val="20"/>
          <w:u w:val="single"/>
          <w:lang w:eastAsia="de-DE"/>
        </w:rPr>
        <w:t>Leitsatz:</w:t>
      </w:r>
    </w:p>
    <w:p w:rsidR="007A39D8" w:rsidRPr="007A39D8" w:rsidRDefault="007A39D8" w:rsidP="007A39D8">
      <w:pPr>
        <w:rPr>
          <w:rFonts w:ascii="Arial" w:eastAsia="Calibri" w:hAnsi="Arial" w:cs="Arial"/>
          <w:bCs/>
          <w:sz w:val="20"/>
          <w:szCs w:val="20"/>
          <w:lang w:eastAsia="de-DE"/>
        </w:rPr>
      </w:pPr>
      <w:r w:rsidRPr="007A39D8">
        <w:rPr>
          <w:rFonts w:ascii="Arial" w:eastAsia="Calibri" w:hAnsi="Arial" w:cs="Arial"/>
          <w:bCs/>
          <w:sz w:val="20"/>
          <w:szCs w:val="20"/>
          <w:lang w:eastAsia="de-DE"/>
        </w:rPr>
        <w:t>Es ist nach § 4 Abs. 1 Satz 1 TzBfG nicht zu beanstanden, dass eine a</w:t>
      </w:r>
      <w:r>
        <w:rPr>
          <w:rFonts w:ascii="Arial" w:eastAsia="Calibri" w:hAnsi="Arial" w:cs="Arial"/>
          <w:bCs/>
          <w:sz w:val="20"/>
          <w:szCs w:val="20"/>
          <w:lang w:eastAsia="de-DE"/>
        </w:rPr>
        <w:t xml:space="preserve">n </w:t>
      </w:r>
      <w:r w:rsidRPr="007A39D8">
        <w:rPr>
          <w:rFonts w:ascii="Arial" w:eastAsia="Calibri" w:hAnsi="Arial" w:cs="Arial"/>
          <w:bCs/>
          <w:sz w:val="20"/>
          <w:szCs w:val="20"/>
          <w:lang w:eastAsia="de-DE"/>
        </w:rPr>
        <w:t>das arbeitsvertragliche Synallagma anknüpfende tarifvertragliche Inflationsausgleichsprämie vom Umfang der Arbeitszeit abhängig gemacht wird, der auch für das Tarifentgelt maßgeblich ist</w:t>
      </w:r>
      <w:r>
        <w:rPr>
          <w:rFonts w:ascii="Arial" w:eastAsia="Calibri" w:hAnsi="Arial" w:cs="Arial"/>
          <w:bCs/>
          <w:sz w:val="20"/>
          <w:szCs w:val="20"/>
          <w:lang w:eastAsia="de-DE"/>
        </w:rPr>
        <w:t>.</w:t>
      </w:r>
    </w:p>
    <w:p w:rsidR="007A39D8" w:rsidRDefault="007A39D8" w:rsidP="00E930BE">
      <w:pPr>
        <w:rPr>
          <w:rFonts w:ascii="Arial" w:eastAsia="Calibri" w:hAnsi="Arial" w:cs="Arial"/>
          <w:bCs/>
          <w:sz w:val="20"/>
          <w:szCs w:val="20"/>
          <w:lang w:eastAsia="de-DE"/>
        </w:rPr>
      </w:pPr>
    </w:p>
    <w:p w:rsidR="007A39D8" w:rsidRPr="007A39D8" w:rsidRDefault="007A39D8" w:rsidP="00E930BE">
      <w:pPr>
        <w:rPr>
          <w:rFonts w:ascii="Arial" w:eastAsia="Calibri" w:hAnsi="Arial" w:cs="Arial"/>
          <w:b/>
          <w:bCs/>
          <w:sz w:val="20"/>
          <w:szCs w:val="20"/>
          <w:u w:val="single"/>
          <w:lang w:eastAsia="de-DE"/>
        </w:rPr>
      </w:pPr>
      <w:r w:rsidRPr="007A39D8">
        <w:rPr>
          <w:rFonts w:ascii="Arial" w:eastAsia="Calibri" w:hAnsi="Arial" w:cs="Arial"/>
          <w:b/>
          <w:bCs/>
          <w:sz w:val="20"/>
          <w:szCs w:val="20"/>
          <w:u w:val="single"/>
          <w:lang w:eastAsia="de-DE"/>
        </w:rPr>
        <w:t>Siehe:</w:t>
      </w:r>
    </w:p>
    <w:p w:rsidR="007A39D8" w:rsidRPr="00F7783D" w:rsidRDefault="00B15653" w:rsidP="007A39D8">
      <w:pPr>
        <w:rPr>
          <w:rFonts w:ascii="Arial" w:hAnsi="Arial" w:cs="Arial"/>
          <w:sz w:val="18"/>
          <w:szCs w:val="18"/>
        </w:rPr>
      </w:pPr>
      <w:hyperlink r:id="rId22" w:history="1">
        <w:r w:rsidR="007A39D8" w:rsidRPr="00F7783D">
          <w:rPr>
            <w:rStyle w:val="Hyperlink"/>
            <w:rFonts w:ascii="Arial" w:hAnsi="Arial" w:cs="Arial"/>
            <w:color w:val="auto"/>
            <w:sz w:val="18"/>
            <w:szCs w:val="18"/>
          </w:rPr>
          <w:t>https://www.bundesarbeitsgericht.de/wp-content/uploads/2026/08/9-AZR-193-25.pdf</w:t>
        </w:r>
      </w:hyperlink>
    </w:p>
    <w:p w:rsidR="007A39D8" w:rsidRDefault="007A39D8" w:rsidP="00E930BE">
      <w:pPr>
        <w:rPr>
          <w:rFonts w:ascii="Arial" w:eastAsia="Calibri" w:hAnsi="Arial" w:cs="Arial"/>
          <w:bCs/>
          <w:sz w:val="20"/>
          <w:szCs w:val="20"/>
          <w:lang w:eastAsia="de-DE"/>
        </w:rPr>
      </w:pPr>
    </w:p>
    <w:p w:rsidR="007A39D8" w:rsidRPr="00F7783D" w:rsidRDefault="007A39D8" w:rsidP="00F7783D">
      <w:pPr>
        <w:jc w:val="center"/>
        <w:rPr>
          <w:rFonts w:ascii="Arial" w:eastAsia="Calibri" w:hAnsi="Arial" w:cs="Arial"/>
          <w:b/>
          <w:bCs/>
          <w:lang w:eastAsia="de-DE"/>
        </w:rPr>
      </w:pPr>
      <w:r w:rsidRPr="00F7783D">
        <w:rPr>
          <w:rFonts w:ascii="Arial" w:eastAsia="Calibri" w:hAnsi="Arial" w:cs="Arial"/>
          <w:b/>
          <w:bCs/>
          <w:lang w:eastAsia="de-DE"/>
        </w:rPr>
        <w:t>XVI.</w:t>
      </w:r>
    </w:p>
    <w:p w:rsidR="007A39D8" w:rsidRPr="00F7783D" w:rsidRDefault="007A39D8" w:rsidP="00F7783D">
      <w:pPr>
        <w:jc w:val="center"/>
        <w:rPr>
          <w:rFonts w:ascii="Arial" w:eastAsia="Calibri" w:hAnsi="Arial" w:cs="Arial"/>
          <w:b/>
          <w:bCs/>
          <w:lang w:eastAsia="de-DE"/>
        </w:rPr>
      </w:pPr>
      <w:r w:rsidRPr="00F7783D">
        <w:rPr>
          <w:rFonts w:ascii="Arial" w:eastAsia="Calibri" w:hAnsi="Arial" w:cs="Arial"/>
          <w:b/>
          <w:bCs/>
          <w:lang w:eastAsia="de-DE"/>
        </w:rPr>
        <w:t>Bundesarbeitsgericht</w:t>
      </w:r>
    </w:p>
    <w:p w:rsidR="007A39D8" w:rsidRPr="00F7783D" w:rsidRDefault="00F7783D" w:rsidP="00F7783D">
      <w:pPr>
        <w:jc w:val="center"/>
        <w:rPr>
          <w:rFonts w:ascii="Arial" w:eastAsia="Calibri" w:hAnsi="Arial" w:cs="Arial"/>
          <w:bCs/>
          <w:lang w:eastAsia="de-DE"/>
        </w:rPr>
      </w:pPr>
      <w:r w:rsidRPr="00F7783D">
        <w:rPr>
          <w:rFonts w:ascii="Arial" w:eastAsia="Calibri" w:hAnsi="Arial" w:cs="Arial"/>
          <w:bCs/>
          <w:lang w:eastAsia="de-DE"/>
        </w:rPr>
        <w:t>Urteil vom 15.04.2026 - 7 ABR 32/24</w:t>
      </w:r>
    </w:p>
    <w:p w:rsidR="007A39D8" w:rsidRDefault="007A39D8" w:rsidP="00E930BE">
      <w:pPr>
        <w:rPr>
          <w:rFonts w:ascii="Arial" w:eastAsia="Calibri" w:hAnsi="Arial" w:cs="Arial"/>
          <w:bCs/>
          <w:sz w:val="20"/>
          <w:szCs w:val="20"/>
          <w:lang w:eastAsia="de-DE"/>
        </w:rPr>
      </w:pPr>
    </w:p>
    <w:p w:rsidR="007A39D8" w:rsidRPr="00F7783D" w:rsidRDefault="00F7783D" w:rsidP="00E930BE">
      <w:pPr>
        <w:rPr>
          <w:rFonts w:ascii="Arial" w:eastAsia="Calibri" w:hAnsi="Arial" w:cs="Arial"/>
          <w:b/>
          <w:bCs/>
          <w:sz w:val="20"/>
          <w:szCs w:val="20"/>
          <w:u w:val="single"/>
          <w:lang w:eastAsia="de-DE"/>
        </w:rPr>
      </w:pPr>
      <w:r w:rsidRPr="00F7783D">
        <w:rPr>
          <w:rFonts w:ascii="Arial" w:eastAsia="Calibri" w:hAnsi="Arial" w:cs="Arial"/>
          <w:b/>
          <w:bCs/>
          <w:sz w:val="20"/>
          <w:szCs w:val="20"/>
          <w:u w:val="single"/>
          <w:lang w:eastAsia="de-DE"/>
        </w:rPr>
        <w:t>Schlagworte/Normen:</w:t>
      </w:r>
    </w:p>
    <w:p w:rsidR="007A39D8" w:rsidRPr="00F7783D" w:rsidRDefault="00F7783D" w:rsidP="00F7783D">
      <w:pPr>
        <w:rPr>
          <w:rFonts w:ascii="Arial" w:eastAsia="Calibri" w:hAnsi="Arial" w:cs="Arial"/>
          <w:b/>
          <w:bCs/>
          <w:sz w:val="20"/>
          <w:szCs w:val="20"/>
          <w:lang w:eastAsia="de-DE"/>
        </w:rPr>
      </w:pPr>
      <w:r w:rsidRPr="00F7783D">
        <w:rPr>
          <w:rFonts w:ascii="Arial" w:eastAsia="Calibri" w:hAnsi="Arial" w:cs="Arial"/>
          <w:b/>
          <w:bCs/>
          <w:sz w:val="20"/>
          <w:szCs w:val="20"/>
          <w:lang w:eastAsia="de-DE"/>
        </w:rPr>
        <w:t>Wahl der Schwerbehindertenvertretung - schriftliche Stimmabgabe - Behandlung der schriftlich abgegebenen Stimmen - Grundsatz der Öffentlichkeit der Wahl</w:t>
      </w:r>
    </w:p>
    <w:p w:rsidR="007A39D8" w:rsidRDefault="007A39D8" w:rsidP="00E930BE">
      <w:pPr>
        <w:rPr>
          <w:rFonts w:ascii="Arial" w:eastAsia="Calibri" w:hAnsi="Arial" w:cs="Arial"/>
          <w:bCs/>
          <w:sz w:val="20"/>
          <w:szCs w:val="20"/>
          <w:lang w:eastAsia="de-DE"/>
        </w:rPr>
      </w:pPr>
    </w:p>
    <w:p w:rsidR="00F7783D" w:rsidRPr="00F7783D" w:rsidRDefault="00F7783D" w:rsidP="00E930BE">
      <w:pPr>
        <w:rPr>
          <w:rFonts w:ascii="Arial" w:eastAsia="Calibri" w:hAnsi="Arial" w:cs="Arial"/>
          <w:b/>
          <w:bCs/>
          <w:sz w:val="20"/>
          <w:szCs w:val="20"/>
          <w:u w:val="single"/>
          <w:lang w:eastAsia="de-DE"/>
        </w:rPr>
      </w:pPr>
      <w:r w:rsidRPr="00F7783D">
        <w:rPr>
          <w:rFonts w:ascii="Arial" w:eastAsia="Calibri" w:hAnsi="Arial" w:cs="Arial"/>
          <w:b/>
          <w:bCs/>
          <w:sz w:val="20"/>
          <w:szCs w:val="20"/>
          <w:u w:val="single"/>
          <w:lang w:eastAsia="de-DE"/>
        </w:rPr>
        <w:lastRenderedPageBreak/>
        <w:t>Siehe:</w:t>
      </w:r>
    </w:p>
    <w:p w:rsidR="00F7783D" w:rsidRPr="00A641AA" w:rsidRDefault="00B15653" w:rsidP="00F7783D">
      <w:pPr>
        <w:rPr>
          <w:rFonts w:ascii="Arial" w:hAnsi="Arial" w:cs="Arial"/>
          <w:sz w:val="18"/>
          <w:szCs w:val="18"/>
        </w:rPr>
      </w:pPr>
      <w:hyperlink r:id="rId23" w:history="1">
        <w:r w:rsidR="00F7783D" w:rsidRPr="00A641AA">
          <w:rPr>
            <w:rStyle w:val="Hyperlink"/>
            <w:rFonts w:ascii="Arial" w:hAnsi="Arial" w:cs="Arial"/>
            <w:color w:val="auto"/>
            <w:sz w:val="18"/>
            <w:szCs w:val="18"/>
          </w:rPr>
          <w:t>https://www.bundesarbeitsgericht.de/wp-content/uploads/2026/08/7-ABR-32-24.pdf</w:t>
        </w:r>
      </w:hyperlink>
    </w:p>
    <w:p w:rsidR="00F7783D" w:rsidRDefault="00F7783D" w:rsidP="00E930BE">
      <w:pPr>
        <w:rPr>
          <w:rFonts w:ascii="Arial" w:eastAsia="Calibri" w:hAnsi="Arial" w:cs="Arial"/>
          <w:bCs/>
          <w:sz w:val="20"/>
          <w:szCs w:val="20"/>
          <w:lang w:eastAsia="de-DE"/>
        </w:rPr>
      </w:pPr>
    </w:p>
    <w:p w:rsidR="00F7783D" w:rsidRPr="00F7783D" w:rsidRDefault="00F7783D" w:rsidP="00F7783D">
      <w:pPr>
        <w:jc w:val="center"/>
        <w:rPr>
          <w:rFonts w:ascii="Arial" w:eastAsia="Calibri" w:hAnsi="Arial" w:cs="Arial"/>
          <w:b/>
          <w:bCs/>
          <w:lang w:eastAsia="de-DE"/>
        </w:rPr>
      </w:pPr>
      <w:r w:rsidRPr="00F7783D">
        <w:rPr>
          <w:rFonts w:ascii="Arial" w:eastAsia="Calibri" w:hAnsi="Arial" w:cs="Arial"/>
          <w:b/>
          <w:bCs/>
          <w:lang w:eastAsia="de-DE"/>
        </w:rPr>
        <w:t>XVII.</w:t>
      </w:r>
    </w:p>
    <w:p w:rsidR="00F7783D" w:rsidRPr="00F7783D" w:rsidRDefault="00F7783D" w:rsidP="00F7783D">
      <w:pPr>
        <w:jc w:val="center"/>
        <w:rPr>
          <w:rFonts w:ascii="Arial" w:eastAsia="Calibri" w:hAnsi="Arial" w:cs="Arial"/>
          <w:b/>
          <w:bCs/>
          <w:lang w:eastAsia="de-DE"/>
        </w:rPr>
      </w:pPr>
      <w:r w:rsidRPr="00F7783D">
        <w:rPr>
          <w:rFonts w:ascii="Arial" w:eastAsia="Calibri" w:hAnsi="Arial" w:cs="Arial"/>
          <w:b/>
          <w:bCs/>
          <w:lang w:eastAsia="de-DE"/>
        </w:rPr>
        <w:t>Bundesarbeitsgericht</w:t>
      </w:r>
    </w:p>
    <w:p w:rsidR="00F7783D" w:rsidRPr="00F7783D" w:rsidRDefault="00F7783D" w:rsidP="00F7783D">
      <w:pPr>
        <w:jc w:val="center"/>
        <w:rPr>
          <w:rFonts w:ascii="Arial" w:eastAsia="Calibri" w:hAnsi="Arial" w:cs="Arial"/>
          <w:bCs/>
          <w:lang w:eastAsia="de-DE"/>
        </w:rPr>
      </w:pPr>
      <w:r w:rsidRPr="00F7783D">
        <w:rPr>
          <w:rFonts w:ascii="Arial" w:eastAsia="Calibri" w:hAnsi="Arial" w:cs="Arial"/>
          <w:bCs/>
          <w:lang w:eastAsia="de-DE"/>
        </w:rPr>
        <w:t>Urteil vom 25. März 2026 - 5 AZR 108/25</w:t>
      </w:r>
    </w:p>
    <w:p w:rsidR="00F7783D" w:rsidRPr="00F7783D" w:rsidRDefault="00F7783D" w:rsidP="00E930BE">
      <w:pPr>
        <w:rPr>
          <w:rFonts w:ascii="Arial" w:eastAsia="Calibri" w:hAnsi="Arial" w:cs="Arial"/>
          <w:bCs/>
          <w:lang w:eastAsia="de-DE"/>
        </w:rPr>
      </w:pPr>
    </w:p>
    <w:p w:rsidR="00F7783D" w:rsidRPr="00F7783D" w:rsidRDefault="00F7783D" w:rsidP="00E930BE">
      <w:pPr>
        <w:rPr>
          <w:rFonts w:ascii="Arial" w:eastAsia="Calibri" w:hAnsi="Arial" w:cs="Arial"/>
          <w:b/>
          <w:bCs/>
          <w:sz w:val="20"/>
          <w:szCs w:val="20"/>
          <w:u w:val="single"/>
          <w:lang w:eastAsia="de-DE"/>
        </w:rPr>
      </w:pPr>
      <w:r w:rsidRPr="00F7783D">
        <w:rPr>
          <w:rFonts w:ascii="Arial" w:eastAsia="Calibri" w:hAnsi="Arial" w:cs="Arial"/>
          <w:b/>
          <w:bCs/>
          <w:sz w:val="20"/>
          <w:szCs w:val="20"/>
          <w:u w:val="single"/>
          <w:lang w:eastAsia="de-DE"/>
        </w:rPr>
        <w:t>Schlagworte/Normen:</w:t>
      </w:r>
    </w:p>
    <w:p w:rsidR="00F7783D" w:rsidRPr="00F7783D" w:rsidRDefault="00F7783D" w:rsidP="00E930BE">
      <w:pPr>
        <w:rPr>
          <w:rFonts w:ascii="Arial" w:eastAsia="Calibri" w:hAnsi="Arial" w:cs="Arial"/>
          <w:b/>
          <w:bCs/>
          <w:sz w:val="20"/>
          <w:szCs w:val="20"/>
          <w:lang w:eastAsia="de-DE"/>
        </w:rPr>
      </w:pPr>
      <w:r w:rsidRPr="00F7783D">
        <w:rPr>
          <w:rFonts w:ascii="Arial" w:eastAsia="Calibri" w:hAnsi="Arial" w:cs="Arial"/>
          <w:b/>
          <w:bCs/>
          <w:sz w:val="20"/>
          <w:szCs w:val="20"/>
          <w:lang w:eastAsia="de-DE"/>
        </w:rPr>
        <w:t>AGB - Freistellung bei Kündigung</w:t>
      </w:r>
    </w:p>
    <w:p w:rsidR="00F7783D" w:rsidRDefault="00F7783D" w:rsidP="00E930BE">
      <w:pPr>
        <w:rPr>
          <w:rFonts w:ascii="Arial" w:eastAsia="Calibri" w:hAnsi="Arial" w:cs="Arial"/>
          <w:bCs/>
          <w:sz w:val="20"/>
          <w:szCs w:val="20"/>
          <w:lang w:eastAsia="de-DE"/>
        </w:rPr>
      </w:pPr>
    </w:p>
    <w:p w:rsidR="00F7783D" w:rsidRPr="00F7783D" w:rsidRDefault="00F7783D" w:rsidP="00E930BE">
      <w:pPr>
        <w:rPr>
          <w:rFonts w:ascii="Arial" w:eastAsia="Calibri" w:hAnsi="Arial" w:cs="Arial"/>
          <w:b/>
          <w:bCs/>
          <w:sz w:val="20"/>
          <w:szCs w:val="20"/>
          <w:u w:val="single"/>
          <w:lang w:eastAsia="de-DE"/>
        </w:rPr>
      </w:pPr>
      <w:r w:rsidRPr="00F7783D">
        <w:rPr>
          <w:rFonts w:ascii="Arial" w:eastAsia="Calibri" w:hAnsi="Arial" w:cs="Arial"/>
          <w:b/>
          <w:bCs/>
          <w:sz w:val="20"/>
          <w:szCs w:val="20"/>
          <w:u w:val="single"/>
          <w:lang w:eastAsia="de-DE"/>
        </w:rPr>
        <w:t>Leitsatz:</w:t>
      </w:r>
    </w:p>
    <w:p w:rsidR="007A39D8" w:rsidRDefault="00F7783D" w:rsidP="00F7783D">
      <w:pPr>
        <w:rPr>
          <w:rFonts w:ascii="Arial" w:eastAsia="Calibri" w:hAnsi="Arial" w:cs="Arial"/>
          <w:bCs/>
          <w:sz w:val="20"/>
          <w:szCs w:val="20"/>
          <w:lang w:eastAsia="de-DE"/>
        </w:rPr>
      </w:pPr>
      <w:r w:rsidRPr="00F7783D">
        <w:rPr>
          <w:rFonts w:ascii="Arial" w:eastAsia="Calibri" w:hAnsi="Arial" w:cs="Arial"/>
          <w:bCs/>
          <w:sz w:val="20"/>
          <w:szCs w:val="20"/>
          <w:lang w:eastAsia="de-DE"/>
        </w:rPr>
        <w:t>Eine Allgemeine Geschäftsbedingung, die den Arbeitgeber pauschal berechtigt, den Arbeitnehmer bei einer Kündigung bis zum Ablauf der Kündigungsfrist von der Pflicht zur Erbringung der Arbeitsleistung freizustellen,</w:t>
      </w:r>
      <w:r w:rsidR="00D1207E" w:rsidRPr="00F7783D">
        <w:rPr>
          <w:rFonts w:ascii="Arial" w:eastAsia="Calibri" w:hAnsi="Arial" w:cs="Arial"/>
          <w:bCs/>
          <w:sz w:val="20"/>
          <w:szCs w:val="20"/>
          <w:lang w:eastAsia="de-DE"/>
        </w:rPr>
        <w:t xml:space="preserve"> </w:t>
      </w:r>
      <w:r w:rsidRPr="00F7783D">
        <w:rPr>
          <w:rFonts w:ascii="Arial" w:eastAsia="Calibri" w:hAnsi="Arial" w:cs="Arial"/>
          <w:bCs/>
          <w:sz w:val="20"/>
          <w:szCs w:val="20"/>
          <w:lang w:eastAsia="de-DE"/>
        </w:rPr>
        <w:t>benachteiligt den Arbeitnehmer unangemessen und ist daher unwirksam.</w:t>
      </w:r>
    </w:p>
    <w:p w:rsidR="00D1207E" w:rsidRDefault="00D1207E" w:rsidP="00F7783D">
      <w:pPr>
        <w:rPr>
          <w:rFonts w:ascii="Arial" w:eastAsia="Calibri" w:hAnsi="Arial" w:cs="Arial"/>
          <w:bCs/>
          <w:sz w:val="20"/>
          <w:szCs w:val="20"/>
          <w:lang w:eastAsia="de-DE"/>
        </w:rPr>
      </w:pPr>
    </w:p>
    <w:p w:rsidR="00D1207E" w:rsidRPr="00D1207E" w:rsidRDefault="00D1207E" w:rsidP="00F7783D">
      <w:pPr>
        <w:rPr>
          <w:rFonts w:ascii="Arial" w:eastAsia="Calibri" w:hAnsi="Arial" w:cs="Arial"/>
          <w:b/>
          <w:bCs/>
          <w:sz w:val="20"/>
          <w:szCs w:val="20"/>
          <w:u w:val="single"/>
          <w:lang w:eastAsia="de-DE"/>
        </w:rPr>
      </w:pPr>
      <w:r w:rsidRPr="00D1207E">
        <w:rPr>
          <w:rFonts w:ascii="Arial" w:eastAsia="Calibri" w:hAnsi="Arial" w:cs="Arial"/>
          <w:b/>
          <w:bCs/>
          <w:sz w:val="20"/>
          <w:szCs w:val="20"/>
          <w:u w:val="single"/>
          <w:lang w:eastAsia="de-DE"/>
        </w:rPr>
        <w:t>Siehe:</w:t>
      </w:r>
    </w:p>
    <w:p w:rsidR="00D1207E" w:rsidRPr="00A641AA" w:rsidRDefault="00B15653" w:rsidP="00D1207E">
      <w:pPr>
        <w:rPr>
          <w:rFonts w:ascii="Arial" w:hAnsi="Arial" w:cs="Arial"/>
          <w:sz w:val="18"/>
          <w:szCs w:val="18"/>
        </w:rPr>
      </w:pPr>
      <w:hyperlink r:id="rId24" w:history="1">
        <w:r w:rsidR="00D1207E" w:rsidRPr="00A641AA">
          <w:rPr>
            <w:rStyle w:val="Hyperlink"/>
            <w:rFonts w:ascii="Arial" w:hAnsi="Arial" w:cs="Arial"/>
            <w:color w:val="auto"/>
            <w:sz w:val="18"/>
            <w:szCs w:val="18"/>
          </w:rPr>
          <w:t>https://www.bundesarbeitsgericht.de/wp-content/uploads/2026/08/5-AZR-108-25.pdf</w:t>
        </w:r>
      </w:hyperlink>
    </w:p>
    <w:p w:rsidR="005E5185" w:rsidRPr="00E410AB" w:rsidRDefault="005E5185" w:rsidP="005E5185">
      <w:pPr>
        <w:rPr>
          <w:rFonts w:ascii="Arial" w:hAnsi="Arial" w:cs="Arial"/>
          <w:sz w:val="20"/>
          <w:szCs w:val="20"/>
        </w:rPr>
      </w:pPr>
    </w:p>
    <w:p w:rsidR="005E5185" w:rsidRPr="00E410AB" w:rsidRDefault="005E5185" w:rsidP="005E5185">
      <w:pPr>
        <w:rPr>
          <w:rFonts w:ascii="Arial" w:hAnsi="Arial" w:cs="Arial"/>
          <w:sz w:val="20"/>
          <w:szCs w:val="20"/>
        </w:rPr>
      </w:pPr>
    </w:p>
    <w:p w:rsidR="005E5185" w:rsidRPr="00E410AB" w:rsidRDefault="005E5185" w:rsidP="005E5185">
      <w:pPr>
        <w:jc w:val="both"/>
        <w:rPr>
          <w:rFonts w:ascii="Arial" w:hAnsi="Arial" w:cs="Arial"/>
          <w:sz w:val="20"/>
          <w:szCs w:val="20"/>
        </w:rPr>
      </w:pPr>
      <w:r w:rsidRPr="00E410AB">
        <w:rPr>
          <w:rFonts w:ascii="Arial" w:hAnsi="Arial" w:cs="Arial"/>
          <w:sz w:val="20"/>
          <w:szCs w:val="20"/>
        </w:rPr>
        <w:t>Michael Henn</w:t>
      </w:r>
    </w:p>
    <w:p w:rsidR="005E5185" w:rsidRPr="00E410AB" w:rsidRDefault="005E5185" w:rsidP="005E5185">
      <w:pPr>
        <w:jc w:val="both"/>
        <w:rPr>
          <w:rFonts w:ascii="Arial" w:hAnsi="Arial" w:cs="Arial"/>
          <w:sz w:val="20"/>
          <w:szCs w:val="20"/>
        </w:rPr>
      </w:pPr>
      <w:r w:rsidRPr="00E410AB">
        <w:rPr>
          <w:rFonts w:ascii="Arial" w:hAnsi="Arial" w:cs="Arial"/>
          <w:sz w:val="20"/>
          <w:szCs w:val="20"/>
        </w:rPr>
        <w:t>Rechtsanwalt</w:t>
      </w:r>
    </w:p>
    <w:p w:rsidR="005E5185" w:rsidRPr="00E410AB" w:rsidRDefault="005E5185" w:rsidP="005E5185">
      <w:pPr>
        <w:jc w:val="both"/>
        <w:rPr>
          <w:rFonts w:ascii="Arial" w:hAnsi="Arial" w:cs="Arial"/>
          <w:sz w:val="20"/>
          <w:szCs w:val="20"/>
        </w:rPr>
      </w:pPr>
      <w:r w:rsidRPr="00E410AB">
        <w:rPr>
          <w:rFonts w:ascii="Arial" w:hAnsi="Arial" w:cs="Arial"/>
          <w:sz w:val="20"/>
          <w:szCs w:val="20"/>
        </w:rPr>
        <w:t>Fachanwalt für Erbrecht</w:t>
      </w:r>
    </w:p>
    <w:p w:rsidR="005E5185" w:rsidRPr="00E410AB" w:rsidRDefault="005E5185" w:rsidP="005E5185">
      <w:pPr>
        <w:jc w:val="both"/>
        <w:rPr>
          <w:rFonts w:ascii="Arial" w:hAnsi="Arial" w:cs="Arial"/>
          <w:sz w:val="20"/>
          <w:szCs w:val="20"/>
        </w:rPr>
      </w:pPr>
      <w:r w:rsidRPr="00E410AB">
        <w:rPr>
          <w:rFonts w:ascii="Arial" w:hAnsi="Arial" w:cs="Arial"/>
          <w:sz w:val="20"/>
          <w:szCs w:val="20"/>
        </w:rPr>
        <w:t>Fachanwalt für Arbeitsrecht</w:t>
      </w:r>
    </w:p>
    <w:p w:rsidR="005E5185" w:rsidRPr="00E410AB" w:rsidRDefault="005E5185" w:rsidP="005E5185">
      <w:pPr>
        <w:jc w:val="both"/>
        <w:rPr>
          <w:rFonts w:ascii="Arial" w:hAnsi="Arial" w:cs="Arial"/>
          <w:sz w:val="20"/>
          <w:szCs w:val="20"/>
        </w:rPr>
      </w:pPr>
      <w:r w:rsidRPr="00E410AB">
        <w:rPr>
          <w:rFonts w:ascii="Arial" w:hAnsi="Arial" w:cs="Arial"/>
          <w:sz w:val="20"/>
          <w:szCs w:val="20"/>
        </w:rPr>
        <w:t>VDAA – Präsident</w:t>
      </w:r>
    </w:p>
    <w:p w:rsidR="005E5185" w:rsidRPr="00E410AB" w:rsidRDefault="005E5185" w:rsidP="005E5185">
      <w:pPr>
        <w:jc w:val="both"/>
        <w:rPr>
          <w:rFonts w:ascii="Arial" w:eastAsia="Times New Roman" w:hAnsi="Arial" w:cs="Arial"/>
          <w:b/>
          <w:bCs/>
          <w:sz w:val="20"/>
          <w:szCs w:val="20"/>
          <w:lang w:eastAsia="de-DE"/>
        </w:rPr>
      </w:pPr>
      <w:r w:rsidRPr="00E410AB">
        <w:rPr>
          <w:rFonts w:ascii="Arial" w:eastAsia="Times New Roman" w:hAnsi="Arial" w:cs="Arial"/>
          <w:b/>
          <w:bCs/>
          <w:sz w:val="20"/>
          <w:szCs w:val="20"/>
          <w:lang w:eastAsia="de-DE"/>
        </w:rPr>
        <w:t xml:space="preserve">VDAA - Verband deutscher </w:t>
      </w:r>
      <w:proofErr w:type="spellStart"/>
      <w:r w:rsidRPr="00E410AB">
        <w:rPr>
          <w:rFonts w:ascii="Arial" w:eastAsia="Times New Roman" w:hAnsi="Arial" w:cs="Arial"/>
          <w:b/>
          <w:bCs/>
          <w:sz w:val="20"/>
          <w:szCs w:val="20"/>
          <w:lang w:eastAsia="de-DE"/>
        </w:rPr>
        <w:t>ArbeitsrechtsAnwälte</w:t>
      </w:r>
      <w:proofErr w:type="spellEnd"/>
      <w:r w:rsidRPr="00E410AB">
        <w:rPr>
          <w:rFonts w:ascii="Arial" w:eastAsia="Times New Roman" w:hAnsi="Arial" w:cs="Arial"/>
          <w:b/>
          <w:bCs/>
          <w:sz w:val="20"/>
          <w:szCs w:val="20"/>
          <w:lang w:eastAsia="de-DE"/>
        </w:rPr>
        <w:t xml:space="preserve"> e.V.</w:t>
      </w:r>
    </w:p>
    <w:p w:rsidR="005E5185" w:rsidRPr="00E410AB" w:rsidRDefault="005E5185" w:rsidP="005E5185">
      <w:pPr>
        <w:jc w:val="both"/>
        <w:rPr>
          <w:rFonts w:ascii="Arial" w:eastAsia="Times New Roman" w:hAnsi="Arial" w:cs="Arial"/>
          <w:b/>
          <w:bCs/>
          <w:sz w:val="20"/>
          <w:szCs w:val="20"/>
          <w:lang w:eastAsia="de-DE"/>
        </w:rPr>
      </w:pPr>
      <w:proofErr w:type="spellStart"/>
      <w:r w:rsidRPr="00E410AB">
        <w:rPr>
          <w:rFonts w:ascii="Arial" w:eastAsia="Times New Roman" w:hAnsi="Arial" w:cs="Arial"/>
          <w:b/>
          <w:bCs/>
          <w:sz w:val="20"/>
          <w:szCs w:val="20"/>
          <w:lang w:eastAsia="de-DE"/>
        </w:rPr>
        <w:t>Gerokstr</w:t>
      </w:r>
      <w:proofErr w:type="spellEnd"/>
      <w:r w:rsidRPr="00E410AB">
        <w:rPr>
          <w:rFonts w:ascii="Arial" w:eastAsia="Times New Roman" w:hAnsi="Arial" w:cs="Arial"/>
          <w:b/>
          <w:bCs/>
          <w:sz w:val="20"/>
          <w:szCs w:val="20"/>
          <w:lang w:eastAsia="de-DE"/>
        </w:rPr>
        <w:t xml:space="preserve">. 8 </w:t>
      </w:r>
      <w:r w:rsidRPr="00E410AB">
        <w:rPr>
          <w:rFonts w:ascii="Arial" w:eastAsia="Times New Roman" w:hAnsi="Arial" w:cs="Arial"/>
          <w:b/>
          <w:bCs/>
          <w:sz w:val="20"/>
          <w:szCs w:val="20"/>
          <w:lang w:eastAsia="de-DE"/>
        </w:rPr>
        <w:tab/>
      </w:r>
      <w:r w:rsidRPr="00E410AB">
        <w:rPr>
          <w:rFonts w:ascii="Arial" w:eastAsia="Times New Roman" w:hAnsi="Arial" w:cs="Arial"/>
          <w:b/>
          <w:bCs/>
          <w:sz w:val="20"/>
          <w:szCs w:val="20"/>
          <w:lang w:eastAsia="de-DE"/>
        </w:rPr>
        <w:tab/>
      </w:r>
      <w:r w:rsidRPr="00E410AB">
        <w:rPr>
          <w:rFonts w:ascii="Arial" w:eastAsia="Times New Roman" w:hAnsi="Arial" w:cs="Arial"/>
          <w:b/>
          <w:bCs/>
          <w:sz w:val="20"/>
          <w:szCs w:val="20"/>
          <w:lang w:eastAsia="de-DE"/>
        </w:rPr>
        <w:tab/>
        <w:t xml:space="preserve"> 70188 Stuttgart</w:t>
      </w:r>
    </w:p>
    <w:p w:rsidR="005E5185" w:rsidRPr="00E410AB" w:rsidRDefault="005E5185" w:rsidP="005E5185">
      <w:pPr>
        <w:jc w:val="both"/>
        <w:rPr>
          <w:rFonts w:ascii="Arial" w:eastAsia="Times New Roman" w:hAnsi="Arial" w:cs="Arial"/>
          <w:sz w:val="20"/>
          <w:szCs w:val="20"/>
        </w:rPr>
      </w:pPr>
      <w:r w:rsidRPr="00E410AB">
        <w:rPr>
          <w:rFonts w:ascii="Arial" w:eastAsia="Times New Roman" w:hAnsi="Arial" w:cs="Arial"/>
          <w:b/>
          <w:bCs/>
          <w:sz w:val="20"/>
          <w:szCs w:val="20"/>
          <w:lang w:eastAsia="de-DE"/>
        </w:rPr>
        <w:t>Telefon: (0711) 3058 9320</w:t>
      </w:r>
      <w:r w:rsidRPr="00E410AB">
        <w:rPr>
          <w:rFonts w:ascii="Arial" w:eastAsia="Times New Roman" w:hAnsi="Arial" w:cs="Arial"/>
          <w:b/>
          <w:bCs/>
          <w:sz w:val="20"/>
          <w:szCs w:val="20"/>
          <w:lang w:eastAsia="de-DE"/>
        </w:rPr>
        <w:tab/>
        <w:t>Telefax: (0711) 3058 9311</w:t>
      </w:r>
    </w:p>
    <w:p w:rsidR="005E5185" w:rsidRPr="00E410AB" w:rsidRDefault="005E5185" w:rsidP="005E5185">
      <w:pPr>
        <w:jc w:val="both"/>
        <w:rPr>
          <w:rFonts w:ascii="Arial" w:eastAsia="Times New Roman" w:hAnsi="Arial" w:cs="Arial"/>
          <w:sz w:val="20"/>
          <w:szCs w:val="20"/>
        </w:rPr>
      </w:pPr>
      <w:r w:rsidRPr="00E410AB">
        <w:rPr>
          <w:rFonts w:ascii="Arial" w:eastAsia="Times New Roman" w:hAnsi="Arial" w:cs="Arial"/>
          <w:b/>
          <w:bCs/>
          <w:sz w:val="20"/>
          <w:szCs w:val="20"/>
          <w:lang w:eastAsia="de-DE"/>
        </w:rPr>
        <w:t xml:space="preserve">Email: </w:t>
      </w:r>
      <w:hyperlink r:id="rId25" w:history="1">
        <w:r w:rsidRPr="00E410AB">
          <w:rPr>
            <w:rFonts w:ascii="Arial" w:eastAsia="Times New Roman" w:hAnsi="Arial" w:cs="Arial"/>
            <w:b/>
            <w:bCs/>
            <w:sz w:val="20"/>
            <w:szCs w:val="20"/>
            <w:u w:val="single"/>
            <w:lang w:eastAsia="de-DE"/>
          </w:rPr>
          <w:t>info@vdaa.de</w:t>
        </w:r>
      </w:hyperlink>
      <w:r w:rsidRPr="00E410AB">
        <w:rPr>
          <w:rFonts w:ascii="Arial" w:eastAsia="Times New Roman" w:hAnsi="Arial" w:cs="Arial"/>
          <w:b/>
          <w:bCs/>
          <w:sz w:val="20"/>
          <w:szCs w:val="20"/>
          <w:u w:val="single"/>
          <w:lang w:eastAsia="de-DE"/>
        </w:rPr>
        <w:tab/>
      </w:r>
      <w:r w:rsidRPr="00E410AB">
        <w:rPr>
          <w:rFonts w:ascii="Arial" w:eastAsia="Times New Roman" w:hAnsi="Arial" w:cs="Arial"/>
          <w:b/>
          <w:bCs/>
          <w:sz w:val="20"/>
          <w:szCs w:val="20"/>
          <w:u w:val="single"/>
          <w:lang w:eastAsia="de-DE"/>
        </w:rPr>
        <w:tab/>
      </w:r>
      <w:hyperlink r:id="rId26" w:history="1">
        <w:r w:rsidRPr="00E410AB">
          <w:rPr>
            <w:rFonts w:ascii="Arial" w:eastAsia="Times New Roman" w:hAnsi="Arial" w:cs="Arial"/>
            <w:b/>
            <w:bCs/>
            <w:sz w:val="20"/>
            <w:szCs w:val="20"/>
            <w:u w:val="single"/>
            <w:lang w:eastAsia="de-DE"/>
          </w:rPr>
          <w:t>www.vdaa.de</w:t>
        </w:r>
      </w:hyperlink>
    </w:p>
    <w:p w:rsidR="005E5185" w:rsidRPr="00E410AB" w:rsidRDefault="005E5185" w:rsidP="005E5185">
      <w:pPr>
        <w:jc w:val="both"/>
        <w:rPr>
          <w:rFonts w:ascii="Arial" w:eastAsia="Times New Roman" w:hAnsi="Arial" w:cs="Arial"/>
          <w:sz w:val="20"/>
          <w:szCs w:val="20"/>
        </w:rPr>
      </w:pPr>
    </w:p>
    <w:sectPr w:rsidR="005E5185" w:rsidRPr="00E410AB">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5653" w:rsidRDefault="00B15653" w:rsidP="009A56DF">
      <w:r>
        <w:separator/>
      </w:r>
    </w:p>
  </w:endnote>
  <w:endnote w:type="continuationSeparator" w:id="0">
    <w:p w:rsidR="00B15653" w:rsidRDefault="00B15653" w:rsidP="009A5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Arial Unicode MS"/>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5731566"/>
      <w:docPartObj>
        <w:docPartGallery w:val="Page Numbers (Bottom of Page)"/>
        <w:docPartUnique/>
      </w:docPartObj>
    </w:sdtPr>
    <w:sdtEndPr/>
    <w:sdtContent>
      <w:p w:rsidR="00374277" w:rsidRDefault="00374277">
        <w:pPr>
          <w:pStyle w:val="Fuzeile"/>
          <w:jc w:val="center"/>
        </w:pPr>
        <w:r>
          <w:rPr>
            <w:noProof/>
            <w:lang w:eastAsia="de-DE"/>
          </w:rPr>
          <mc:AlternateContent>
            <mc:Choice Requires="wps">
              <w:drawing>
                <wp:inline distT="0" distB="0" distL="0" distR="0">
                  <wp:extent cx="5467350" cy="45085"/>
                  <wp:effectExtent l="0" t="9525" r="0" b="2540"/>
                  <wp:docPr id="1" name="Flussdiagramm: Verzweigung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8FEE6AE" id="_x0000_t110" coordsize="21600,21600" o:spt="110" path="m10800,l,10800,10800,21600,21600,10800xe">
                  <v:stroke joinstyle="miter"/>
                  <v:path gradientshapeok="t" o:connecttype="rect" textboxrect="5400,5400,16200,16200"/>
                </v:shapetype>
                <v:shape id="Flussdiagramm: Verzweigung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gQ9wQIAAIYFAAAOAAAAZHJzL2Uyb0RvYy54bWysVF1v0zAUfUfiP1h+75KUpG2ipdO2UkAq&#10;MGmwd9d2EgvHDrbbdEX8d66drNv4kBAiD44/7r0+99zje35xaCXac2OFViVOzmKMuKKaCVWX+POn&#10;9WSBkXVEMSK14iW+5xZfLF++OO+7gk91oyXjBkEQZYu+K3HjXFdEkaUNb4k90x1XcFhp0xIHS1NH&#10;zJAeorcymsbxLOq1YZ3RlFsLu6vhEC9D/Kri1H2sKssdkiUGbC6MJoxbP0bLc1LUhnSNoCMM8g8o&#10;WiIUXHoKtSKOoJ0Rv4RqBTXa6sqdUd1GuqoE5SEHyCaJf8rmtiEdD7kAObY70WT/X1j6YX9jkGBQ&#10;O4wUaaFEa7mzlgkCrLRtge64OfZc1DtVI7Bh3FLgbyPqxqFGG3HUyhHpiew7W0C82+7GeCpst9H0&#10;i0VKXzdE1fzSGN03nDCAn3j76JmDX1hwRdv+vWaAg+ycDpweKtOiSoruzjv60MAbOoQi3p+KyA8O&#10;UdjM0tn8VQa1pnCWZvEiC3eRwofxzp2x7g3XLfKTEldS9wDQuBWnwss43ED2G+s8xkf74EucWwsp&#10;R1/p3mpzDA5VfS1NSNvUW5iiPfGSC98I4GSy/a3tOnyj7Wjirx+v9LGl8qPSHsIAbtiB3AGuP/Ms&#10;BN19y5NpGl9N88l6tphP0nWaTfJ5vJjESX6Vz+I0T1fr7x56khaNYIyrjVD84Q0k6d9pbHyNg3rD&#10;K0B9ifNsmgVWrJaCebQem/0jM8/MWuGgJUjRlnhxoo8UXjmvFYO0SeGIkMM8eg4/FAw4ePgHVoLO&#10;vLQGiW41uweZGQ3FB5lA84IJKPmIUQ+NoMT2644YjpF8p0CqeZKmvnOERZrNp7AwT0+2T0+IohCq&#10;xA6jYXrthm6z64x/Mg8KVvoS5F2JoDEv/QHV+CjgsYcMxsbku8nTdbB6bJ/LHw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o&#10;tgQ9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374277" w:rsidRDefault="00374277">
        <w:pPr>
          <w:pStyle w:val="Fuzeile"/>
          <w:jc w:val="center"/>
        </w:pPr>
        <w:r>
          <w:fldChar w:fldCharType="begin"/>
        </w:r>
        <w:r>
          <w:instrText>PAGE    \* MERGEFORMAT</w:instrText>
        </w:r>
        <w:r>
          <w:fldChar w:fldCharType="separate"/>
        </w:r>
        <w:r>
          <w:rPr>
            <w:noProof/>
          </w:rPr>
          <w:t>1</w:t>
        </w:r>
        <w:r>
          <w:fldChar w:fldCharType="end"/>
        </w:r>
      </w:p>
    </w:sdtContent>
  </w:sdt>
  <w:p w:rsidR="00374277" w:rsidRDefault="003742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5653" w:rsidRDefault="00B15653" w:rsidP="009A56DF">
      <w:r>
        <w:separator/>
      </w:r>
    </w:p>
  </w:footnote>
  <w:footnote w:type="continuationSeparator" w:id="0">
    <w:p w:rsidR="00B15653" w:rsidRDefault="00B15653" w:rsidP="009A5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4277" w:rsidRPr="009A56DF" w:rsidRDefault="00374277" w:rsidP="009A56DF">
    <w:pPr>
      <w:tabs>
        <w:tab w:val="center" w:pos="4536"/>
        <w:tab w:val="left" w:pos="7764"/>
        <w:tab w:val="right" w:pos="9071"/>
      </w:tabs>
      <w:spacing w:line="360" w:lineRule="auto"/>
      <w:jc w:val="center"/>
      <w:rPr>
        <w:rFonts w:ascii="Arial" w:hAnsi="Arial" w:cs="Arial"/>
        <w:b/>
        <w:bCs/>
        <w:sz w:val="28"/>
        <w:szCs w:val="28"/>
        <w:lang w:eastAsia="de-DE"/>
      </w:rPr>
    </w:pPr>
    <w:r w:rsidRPr="009A56DF">
      <w:rPr>
        <w:rFonts w:ascii="Arial" w:hAnsi="Arial" w:cs="Arial"/>
        <w:b/>
        <w:bCs/>
        <w:sz w:val="28"/>
        <w:szCs w:val="28"/>
        <w:lang w:eastAsia="de-DE"/>
      </w:rPr>
      <w:t xml:space="preserve">VDAA- </w:t>
    </w:r>
    <w:r w:rsidR="00071836">
      <w:rPr>
        <w:rFonts w:ascii="Arial" w:hAnsi="Arial" w:cs="Arial"/>
        <w:b/>
        <w:bCs/>
        <w:sz w:val="28"/>
        <w:szCs w:val="28"/>
        <w:lang w:eastAsia="de-DE"/>
      </w:rPr>
      <w:t>Arbeitsrecht</w:t>
    </w:r>
    <w:r w:rsidRPr="009A56DF">
      <w:rPr>
        <w:rFonts w:ascii="Arial" w:hAnsi="Arial" w:cs="Arial"/>
        <w:b/>
        <w:bCs/>
        <w:sz w:val="28"/>
        <w:szCs w:val="28"/>
        <w:lang w:eastAsia="de-DE"/>
      </w:rPr>
      <w:t>sdepesche</w:t>
    </w:r>
    <w:r>
      <w:rPr>
        <w:rFonts w:ascii="Arial" w:hAnsi="Arial" w:cs="Arial"/>
        <w:b/>
        <w:bCs/>
        <w:sz w:val="28"/>
        <w:szCs w:val="28"/>
        <w:lang w:eastAsia="de-DE"/>
      </w:rPr>
      <w:t xml:space="preserve"> </w:t>
    </w:r>
    <w:r w:rsidR="00315C86">
      <w:rPr>
        <w:rFonts w:ascii="Arial" w:hAnsi="Arial" w:cs="Arial"/>
        <w:b/>
        <w:bCs/>
        <w:sz w:val="28"/>
        <w:szCs w:val="28"/>
        <w:lang w:eastAsia="de-DE"/>
      </w:rPr>
      <w:t>0</w:t>
    </w:r>
    <w:r w:rsidR="00D1207E">
      <w:rPr>
        <w:rFonts w:ascii="Arial" w:hAnsi="Arial" w:cs="Arial"/>
        <w:b/>
        <w:bCs/>
        <w:sz w:val="28"/>
        <w:szCs w:val="28"/>
        <w:lang w:eastAsia="de-DE"/>
      </w:rPr>
      <w:t>8 / 09</w:t>
    </w:r>
    <w:r w:rsidR="00B77699">
      <w:rPr>
        <w:rFonts w:ascii="Arial" w:hAnsi="Arial" w:cs="Arial"/>
        <w:b/>
        <w:bCs/>
        <w:sz w:val="28"/>
        <w:szCs w:val="28"/>
        <w:lang w:eastAsia="de-DE"/>
      </w:rPr>
      <w:t xml:space="preserve"> </w:t>
    </w:r>
    <w:r>
      <w:rPr>
        <w:rFonts w:ascii="Arial" w:hAnsi="Arial" w:cs="Arial"/>
        <w:b/>
        <w:bCs/>
        <w:sz w:val="28"/>
        <w:szCs w:val="28"/>
        <w:lang w:eastAsia="de-DE"/>
      </w:rPr>
      <w:t>-202</w:t>
    </w:r>
    <w:r w:rsidR="00315C86">
      <w:rPr>
        <w:rFonts w:ascii="Arial" w:hAnsi="Arial" w:cs="Arial"/>
        <w:b/>
        <w:bCs/>
        <w:sz w:val="28"/>
        <w:szCs w:val="28"/>
        <w:lang w:eastAsia="de-D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4EF7"/>
    <w:multiLevelType w:val="multilevel"/>
    <w:tmpl w:val="2416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561496"/>
    <w:multiLevelType w:val="multilevel"/>
    <w:tmpl w:val="EF8A11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FD0618"/>
    <w:multiLevelType w:val="multilevel"/>
    <w:tmpl w:val="DEC612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6F21B6"/>
    <w:multiLevelType w:val="multilevel"/>
    <w:tmpl w:val="0646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DE13CA"/>
    <w:multiLevelType w:val="multilevel"/>
    <w:tmpl w:val="C4BA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CF1044"/>
    <w:multiLevelType w:val="multilevel"/>
    <w:tmpl w:val="8262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7E10DD"/>
    <w:multiLevelType w:val="multilevel"/>
    <w:tmpl w:val="3DB8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426A81"/>
    <w:multiLevelType w:val="multilevel"/>
    <w:tmpl w:val="426A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5E2984"/>
    <w:multiLevelType w:val="multilevel"/>
    <w:tmpl w:val="E1446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F00287"/>
    <w:multiLevelType w:val="multilevel"/>
    <w:tmpl w:val="265E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7D6B84"/>
    <w:multiLevelType w:val="hybridMultilevel"/>
    <w:tmpl w:val="A8BCBC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99D5483"/>
    <w:multiLevelType w:val="multilevel"/>
    <w:tmpl w:val="F0AA3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365099"/>
    <w:multiLevelType w:val="multilevel"/>
    <w:tmpl w:val="69740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944E9F"/>
    <w:multiLevelType w:val="multilevel"/>
    <w:tmpl w:val="FCD6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961DE5"/>
    <w:multiLevelType w:val="multilevel"/>
    <w:tmpl w:val="3890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8453D3A"/>
    <w:multiLevelType w:val="multilevel"/>
    <w:tmpl w:val="56F2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C0A5CA5"/>
    <w:multiLevelType w:val="multilevel"/>
    <w:tmpl w:val="0482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FEC42BC"/>
    <w:multiLevelType w:val="multilevel"/>
    <w:tmpl w:val="D1CA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7"/>
  </w:num>
  <w:num w:numId="3">
    <w:abstractNumId w:val="12"/>
  </w:num>
  <w:num w:numId="4">
    <w:abstractNumId w:val="2"/>
  </w:num>
  <w:num w:numId="5">
    <w:abstractNumId w:val="1"/>
  </w:num>
  <w:num w:numId="6">
    <w:abstractNumId w:val="0"/>
  </w:num>
  <w:num w:numId="7">
    <w:abstractNumId w:val="5"/>
  </w:num>
  <w:num w:numId="8">
    <w:abstractNumId w:val="10"/>
  </w:num>
  <w:num w:numId="9">
    <w:abstractNumId w:val="6"/>
  </w:num>
  <w:num w:numId="10">
    <w:abstractNumId w:val="11"/>
  </w:num>
  <w:num w:numId="11">
    <w:abstractNumId w:val="9"/>
  </w:num>
  <w:num w:numId="12">
    <w:abstractNumId w:val="15"/>
  </w:num>
  <w:num w:numId="13">
    <w:abstractNumId w:val="14"/>
  </w:num>
  <w:num w:numId="14">
    <w:abstractNumId w:val="13"/>
  </w:num>
  <w:num w:numId="15">
    <w:abstractNumId w:val="16"/>
  </w:num>
  <w:num w:numId="16">
    <w:abstractNumId w:val="8"/>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6DF"/>
    <w:rsid w:val="00027EBF"/>
    <w:rsid w:val="000429A3"/>
    <w:rsid w:val="00064589"/>
    <w:rsid w:val="000668A6"/>
    <w:rsid w:val="00067347"/>
    <w:rsid w:val="00071836"/>
    <w:rsid w:val="000752E2"/>
    <w:rsid w:val="000800A8"/>
    <w:rsid w:val="0009486E"/>
    <w:rsid w:val="000A5F31"/>
    <w:rsid w:val="000B4254"/>
    <w:rsid w:val="000B5306"/>
    <w:rsid w:val="000C019A"/>
    <w:rsid w:val="000C2236"/>
    <w:rsid w:val="000D6245"/>
    <w:rsid w:val="0010317B"/>
    <w:rsid w:val="001049A3"/>
    <w:rsid w:val="00104B18"/>
    <w:rsid w:val="001113D9"/>
    <w:rsid w:val="001118FF"/>
    <w:rsid w:val="00132430"/>
    <w:rsid w:val="0013762A"/>
    <w:rsid w:val="00142286"/>
    <w:rsid w:val="00154C91"/>
    <w:rsid w:val="001707C7"/>
    <w:rsid w:val="00170A43"/>
    <w:rsid w:val="001926EE"/>
    <w:rsid w:val="001929D2"/>
    <w:rsid w:val="001C59D9"/>
    <w:rsid w:val="001D19D2"/>
    <w:rsid w:val="001D2890"/>
    <w:rsid w:val="001D463B"/>
    <w:rsid w:val="002162C5"/>
    <w:rsid w:val="00222F07"/>
    <w:rsid w:val="00231527"/>
    <w:rsid w:val="00250EB4"/>
    <w:rsid w:val="00265575"/>
    <w:rsid w:val="00274007"/>
    <w:rsid w:val="00275C8B"/>
    <w:rsid w:val="002803DE"/>
    <w:rsid w:val="002849ED"/>
    <w:rsid w:val="002A3D27"/>
    <w:rsid w:val="002A760B"/>
    <w:rsid w:val="002B4A5B"/>
    <w:rsid w:val="002C1186"/>
    <w:rsid w:val="002C29AD"/>
    <w:rsid w:val="002D1621"/>
    <w:rsid w:val="002D46D3"/>
    <w:rsid w:val="002E1EFB"/>
    <w:rsid w:val="002E3AE0"/>
    <w:rsid w:val="002F1666"/>
    <w:rsid w:val="00301D2C"/>
    <w:rsid w:val="00315C86"/>
    <w:rsid w:val="00321747"/>
    <w:rsid w:val="00324BBF"/>
    <w:rsid w:val="0034795A"/>
    <w:rsid w:val="003721BE"/>
    <w:rsid w:val="00374277"/>
    <w:rsid w:val="00374912"/>
    <w:rsid w:val="00387D57"/>
    <w:rsid w:val="0039434F"/>
    <w:rsid w:val="003C59DB"/>
    <w:rsid w:val="003E19D0"/>
    <w:rsid w:val="003E5DF0"/>
    <w:rsid w:val="004027F7"/>
    <w:rsid w:val="00406EEB"/>
    <w:rsid w:val="00412B86"/>
    <w:rsid w:val="00432A44"/>
    <w:rsid w:val="00432C32"/>
    <w:rsid w:val="004462C4"/>
    <w:rsid w:val="00462790"/>
    <w:rsid w:val="00484B3E"/>
    <w:rsid w:val="004B102A"/>
    <w:rsid w:val="004B2ACC"/>
    <w:rsid w:val="004C131D"/>
    <w:rsid w:val="004C62D2"/>
    <w:rsid w:val="004D124A"/>
    <w:rsid w:val="004D7250"/>
    <w:rsid w:val="005008C1"/>
    <w:rsid w:val="0051615E"/>
    <w:rsid w:val="00532AA3"/>
    <w:rsid w:val="00546743"/>
    <w:rsid w:val="00582154"/>
    <w:rsid w:val="00594E19"/>
    <w:rsid w:val="005A202A"/>
    <w:rsid w:val="005A79D6"/>
    <w:rsid w:val="005B72FE"/>
    <w:rsid w:val="005C12B2"/>
    <w:rsid w:val="005E5185"/>
    <w:rsid w:val="005E5244"/>
    <w:rsid w:val="00602C12"/>
    <w:rsid w:val="00607758"/>
    <w:rsid w:val="00622F71"/>
    <w:rsid w:val="00622F9B"/>
    <w:rsid w:val="00635267"/>
    <w:rsid w:val="00684DAC"/>
    <w:rsid w:val="0069077C"/>
    <w:rsid w:val="00692B8A"/>
    <w:rsid w:val="006937E4"/>
    <w:rsid w:val="006B154B"/>
    <w:rsid w:val="006D720F"/>
    <w:rsid w:val="006E0471"/>
    <w:rsid w:val="006E52CE"/>
    <w:rsid w:val="006E6F21"/>
    <w:rsid w:val="0070621A"/>
    <w:rsid w:val="0070674F"/>
    <w:rsid w:val="007078E4"/>
    <w:rsid w:val="00710FC5"/>
    <w:rsid w:val="007151A1"/>
    <w:rsid w:val="007405D9"/>
    <w:rsid w:val="00757D07"/>
    <w:rsid w:val="00765DBE"/>
    <w:rsid w:val="007739B7"/>
    <w:rsid w:val="00781856"/>
    <w:rsid w:val="0078459A"/>
    <w:rsid w:val="007A39D8"/>
    <w:rsid w:val="007A6445"/>
    <w:rsid w:val="007D74B8"/>
    <w:rsid w:val="007E4061"/>
    <w:rsid w:val="0081273A"/>
    <w:rsid w:val="0081511B"/>
    <w:rsid w:val="00815589"/>
    <w:rsid w:val="008805BF"/>
    <w:rsid w:val="008C48AA"/>
    <w:rsid w:val="008D0C81"/>
    <w:rsid w:val="008D41DE"/>
    <w:rsid w:val="008E731B"/>
    <w:rsid w:val="008F1823"/>
    <w:rsid w:val="008F7B68"/>
    <w:rsid w:val="009051B0"/>
    <w:rsid w:val="0091351C"/>
    <w:rsid w:val="00927C51"/>
    <w:rsid w:val="0093076E"/>
    <w:rsid w:val="009314D2"/>
    <w:rsid w:val="00932C46"/>
    <w:rsid w:val="00932C71"/>
    <w:rsid w:val="00952DB2"/>
    <w:rsid w:val="00960B03"/>
    <w:rsid w:val="00971694"/>
    <w:rsid w:val="00985B71"/>
    <w:rsid w:val="00992CF4"/>
    <w:rsid w:val="009A56DF"/>
    <w:rsid w:val="009C2845"/>
    <w:rsid w:val="009F0C5F"/>
    <w:rsid w:val="00A17B6B"/>
    <w:rsid w:val="00A226AD"/>
    <w:rsid w:val="00A3285E"/>
    <w:rsid w:val="00A336BF"/>
    <w:rsid w:val="00A36FB9"/>
    <w:rsid w:val="00A641AA"/>
    <w:rsid w:val="00A847C3"/>
    <w:rsid w:val="00AA14F5"/>
    <w:rsid w:val="00AB02E3"/>
    <w:rsid w:val="00AB28C2"/>
    <w:rsid w:val="00AB5DD3"/>
    <w:rsid w:val="00AD7DFE"/>
    <w:rsid w:val="00AF68E8"/>
    <w:rsid w:val="00AF7F1B"/>
    <w:rsid w:val="00B12DDA"/>
    <w:rsid w:val="00B15653"/>
    <w:rsid w:val="00B15B79"/>
    <w:rsid w:val="00B23AEC"/>
    <w:rsid w:val="00B347FF"/>
    <w:rsid w:val="00B6029C"/>
    <w:rsid w:val="00B619D7"/>
    <w:rsid w:val="00B64E55"/>
    <w:rsid w:val="00B71637"/>
    <w:rsid w:val="00B77699"/>
    <w:rsid w:val="00B87B85"/>
    <w:rsid w:val="00BF7BDF"/>
    <w:rsid w:val="00C31E51"/>
    <w:rsid w:val="00C34E03"/>
    <w:rsid w:val="00C604E0"/>
    <w:rsid w:val="00C60CDB"/>
    <w:rsid w:val="00C777F0"/>
    <w:rsid w:val="00C855E7"/>
    <w:rsid w:val="00C945DA"/>
    <w:rsid w:val="00CA43BC"/>
    <w:rsid w:val="00CA74C6"/>
    <w:rsid w:val="00CB3AB1"/>
    <w:rsid w:val="00CC485E"/>
    <w:rsid w:val="00CC5533"/>
    <w:rsid w:val="00CD4D01"/>
    <w:rsid w:val="00D05AAC"/>
    <w:rsid w:val="00D110E4"/>
    <w:rsid w:val="00D1207E"/>
    <w:rsid w:val="00D1762B"/>
    <w:rsid w:val="00D27AA6"/>
    <w:rsid w:val="00D42BDC"/>
    <w:rsid w:val="00D461C5"/>
    <w:rsid w:val="00D501A7"/>
    <w:rsid w:val="00D5144A"/>
    <w:rsid w:val="00D651F8"/>
    <w:rsid w:val="00D71CFF"/>
    <w:rsid w:val="00D745B0"/>
    <w:rsid w:val="00D762F5"/>
    <w:rsid w:val="00DA0856"/>
    <w:rsid w:val="00DC1CF9"/>
    <w:rsid w:val="00DD2729"/>
    <w:rsid w:val="00E064F0"/>
    <w:rsid w:val="00E14E2D"/>
    <w:rsid w:val="00E410AB"/>
    <w:rsid w:val="00E431C7"/>
    <w:rsid w:val="00E449AF"/>
    <w:rsid w:val="00E513FE"/>
    <w:rsid w:val="00E930BE"/>
    <w:rsid w:val="00EB147D"/>
    <w:rsid w:val="00ED7F24"/>
    <w:rsid w:val="00EE633C"/>
    <w:rsid w:val="00EF230F"/>
    <w:rsid w:val="00F01442"/>
    <w:rsid w:val="00F05F04"/>
    <w:rsid w:val="00F1661B"/>
    <w:rsid w:val="00F40A47"/>
    <w:rsid w:val="00F60654"/>
    <w:rsid w:val="00F6752A"/>
    <w:rsid w:val="00F7783D"/>
    <w:rsid w:val="00F82669"/>
    <w:rsid w:val="00F84B5A"/>
    <w:rsid w:val="00F87B56"/>
    <w:rsid w:val="00F91B2E"/>
    <w:rsid w:val="00FB0EE3"/>
    <w:rsid w:val="00FB40B7"/>
    <w:rsid w:val="00FC1E0A"/>
    <w:rsid w:val="00FC3D11"/>
    <w:rsid w:val="00FD5F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8B497"/>
  <w15:chartTrackingRefBased/>
  <w15:docId w15:val="{FF726963-821F-4B86-BB5C-E32DE3EB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A56DF"/>
    <w:pPr>
      <w:spacing w:after="0" w:line="240" w:lineRule="auto"/>
    </w:pPr>
    <w:rPr>
      <w:rFonts w:ascii="Calibri" w:hAnsi="Calibri" w:cs="Calibr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A56DF"/>
    <w:pPr>
      <w:tabs>
        <w:tab w:val="center" w:pos="4536"/>
        <w:tab w:val="right" w:pos="9072"/>
      </w:tabs>
    </w:pPr>
  </w:style>
  <w:style w:type="character" w:customStyle="1" w:styleId="KopfzeileZchn">
    <w:name w:val="Kopfzeile Zchn"/>
    <w:basedOn w:val="Absatz-Standardschriftart"/>
    <w:link w:val="Kopfzeile"/>
    <w:uiPriority w:val="99"/>
    <w:rsid w:val="009A56DF"/>
  </w:style>
  <w:style w:type="paragraph" w:styleId="Fuzeile">
    <w:name w:val="footer"/>
    <w:basedOn w:val="Standard"/>
    <w:link w:val="FuzeileZchn"/>
    <w:uiPriority w:val="99"/>
    <w:unhideWhenUsed/>
    <w:rsid w:val="009A56DF"/>
    <w:pPr>
      <w:tabs>
        <w:tab w:val="center" w:pos="4536"/>
        <w:tab w:val="right" w:pos="9072"/>
      </w:tabs>
    </w:pPr>
  </w:style>
  <w:style w:type="character" w:customStyle="1" w:styleId="FuzeileZchn">
    <w:name w:val="Fußzeile Zchn"/>
    <w:basedOn w:val="Absatz-Standardschriftart"/>
    <w:link w:val="Fuzeile"/>
    <w:uiPriority w:val="99"/>
    <w:rsid w:val="009A56DF"/>
  </w:style>
  <w:style w:type="character" w:styleId="Hyperlink">
    <w:name w:val="Hyperlink"/>
    <w:basedOn w:val="Absatz-Standardschriftart"/>
    <w:uiPriority w:val="99"/>
    <w:unhideWhenUsed/>
    <w:rsid w:val="009A56DF"/>
    <w:rPr>
      <w:color w:val="0563C1"/>
      <w:u w:val="single"/>
    </w:rPr>
  </w:style>
  <w:style w:type="paragraph" w:styleId="Listenabsatz">
    <w:name w:val="List Paragraph"/>
    <w:basedOn w:val="Standard"/>
    <w:uiPriority w:val="34"/>
    <w:qFormat/>
    <w:rsid w:val="00EE633C"/>
    <w:pPr>
      <w:ind w:left="720"/>
      <w:contextualSpacing/>
    </w:pPr>
  </w:style>
  <w:style w:type="paragraph" w:customStyle="1" w:styleId="default">
    <w:name w:val="default"/>
    <w:basedOn w:val="Standard"/>
    <w:rsid w:val="00027EBF"/>
    <w:pPr>
      <w:spacing w:before="100" w:beforeAutospacing="1" w:after="100" w:afterAutospacing="1"/>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F01442"/>
    <w:rPr>
      <w:color w:val="605E5C"/>
      <w:shd w:val="clear" w:color="auto" w:fill="E1DFDD"/>
    </w:rPr>
  </w:style>
  <w:style w:type="character" w:styleId="BesuchterLink">
    <w:name w:val="FollowedHyperlink"/>
    <w:basedOn w:val="Absatz-Standardschriftart"/>
    <w:uiPriority w:val="99"/>
    <w:semiHidden/>
    <w:unhideWhenUsed/>
    <w:rsid w:val="00B23AEC"/>
    <w:rPr>
      <w:color w:val="954F72" w:themeColor="followedHyperlink"/>
      <w:u w:val="single"/>
    </w:rPr>
  </w:style>
  <w:style w:type="paragraph" w:styleId="StandardWeb">
    <w:name w:val="Normal (Web)"/>
    <w:basedOn w:val="Standard"/>
    <w:uiPriority w:val="99"/>
    <w:unhideWhenUsed/>
    <w:rsid w:val="002803DE"/>
    <w:pPr>
      <w:spacing w:before="100" w:beforeAutospacing="1" w:after="100" w:afterAutospacing="1"/>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534">
      <w:bodyDiv w:val="1"/>
      <w:marLeft w:val="0"/>
      <w:marRight w:val="0"/>
      <w:marTop w:val="0"/>
      <w:marBottom w:val="0"/>
      <w:divBdr>
        <w:top w:val="none" w:sz="0" w:space="0" w:color="auto"/>
        <w:left w:val="none" w:sz="0" w:space="0" w:color="auto"/>
        <w:bottom w:val="none" w:sz="0" w:space="0" w:color="auto"/>
        <w:right w:val="none" w:sz="0" w:space="0" w:color="auto"/>
      </w:divBdr>
    </w:div>
    <w:div w:id="29040092">
      <w:bodyDiv w:val="1"/>
      <w:marLeft w:val="0"/>
      <w:marRight w:val="0"/>
      <w:marTop w:val="0"/>
      <w:marBottom w:val="0"/>
      <w:divBdr>
        <w:top w:val="none" w:sz="0" w:space="0" w:color="auto"/>
        <w:left w:val="none" w:sz="0" w:space="0" w:color="auto"/>
        <w:bottom w:val="none" w:sz="0" w:space="0" w:color="auto"/>
        <w:right w:val="none" w:sz="0" w:space="0" w:color="auto"/>
      </w:divBdr>
    </w:div>
    <w:div w:id="210269326">
      <w:bodyDiv w:val="1"/>
      <w:marLeft w:val="0"/>
      <w:marRight w:val="0"/>
      <w:marTop w:val="0"/>
      <w:marBottom w:val="0"/>
      <w:divBdr>
        <w:top w:val="none" w:sz="0" w:space="0" w:color="auto"/>
        <w:left w:val="none" w:sz="0" w:space="0" w:color="auto"/>
        <w:bottom w:val="none" w:sz="0" w:space="0" w:color="auto"/>
        <w:right w:val="none" w:sz="0" w:space="0" w:color="auto"/>
      </w:divBdr>
      <w:divsChild>
        <w:div w:id="2037928229">
          <w:marLeft w:val="0"/>
          <w:marRight w:val="0"/>
          <w:marTop w:val="0"/>
          <w:marBottom w:val="0"/>
          <w:divBdr>
            <w:top w:val="none" w:sz="0" w:space="0" w:color="auto"/>
            <w:left w:val="none" w:sz="0" w:space="0" w:color="auto"/>
            <w:bottom w:val="none" w:sz="0" w:space="0" w:color="auto"/>
            <w:right w:val="none" w:sz="0" w:space="0" w:color="auto"/>
          </w:divBdr>
          <w:divsChild>
            <w:div w:id="35461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00707">
      <w:bodyDiv w:val="1"/>
      <w:marLeft w:val="0"/>
      <w:marRight w:val="0"/>
      <w:marTop w:val="0"/>
      <w:marBottom w:val="0"/>
      <w:divBdr>
        <w:top w:val="none" w:sz="0" w:space="0" w:color="auto"/>
        <w:left w:val="none" w:sz="0" w:space="0" w:color="auto"/>
        <w:bottom w:val="none" w:sz="0" w:space="0" w:color="auto"/>
        <w:right w:val="none" w:sz="0" w:space="0" w:color="auto"/>
      </w:divBdr>
    </w:div>
    <w:div w:id="298535447">
      <w:bodyDiv w:val="1"/>
      <w:marLeft w:val="0"/>
      <w:marRight w:val="0"/>
      <w:marTop w:val="0"/>
      <w:marBottom w:val="0"/>
      <w:divBdr>
        <w:top w:val="none" w:sz="0" w:space="0" w:color="auto"/>
        <w:left w:val="none" w:sz="0" w:space="0" w:color="auto"/>
        <w:bottom w:val="none" w:sz="0" w:space="0" w:color="auto"/>
        <w:right w:val="none" w:sz="0" w:space="0" w:color="auto"/>
      </w:divBdr>
    </w:div>
    <w:div w:id="365520853">
      <w:bodyDiv w:val="1"/>
      <w:marLeft w:val="0"/>
      <w:marRight w:val="0"/>
      <w:marTop w:val="0"/>
      <w:marBottom w:val="0"/>
      <w:divBdr>
        <w:top w:val="none" w:sz="0" w:space="0" w:color="auto"/>
        <w:left w:val="none" w:sz="0" w:space="0" w:color="auto"/>
        <w:bottom w:val="none" w:sz="0" w:space="0" w:color="auto"/>
        <w:right w:val="none" w:sz="0" w:space="0" w:color="auto"/>
      </w:divBdr>
    </w:div>
    <w:div w:id="384374318">
      <w:bodyDiv w:val="1"/>
      <w:marLeft w:val="0"/>
      <w:marRight w:val="0"/>
      <w:marTop w:val="0"/>
      <w:marBottom w:val="0"/>
      <w:divBdr>
        <w:top w:val="none" w:sz="0" w:space="0" w:color="auto"/>
        <w:left w:val="none" w:sz="0" w:space="0" w:color="auto"/>
        <w:bottom w:val="none" w:sz="0" w:space="0" w:color="auto"/>
        <w:right w:val="none" w:sz="0" w:space="0" w:color="auto"/>
      </w:divBdr>
    </w:div>
    <w:div w:id="457653121">
      <w:bodyDiv w:val="1"/>
      <w:marLeft w:val="0"/>
      <w:marRight w:val="0"/>
      <w:marTop w:val="0"/>
      <w:marBottom w:val="0"/>
      <w:divBdr>
        <w:top w:val="none" w:sz="0" w:space="0" w:color="auto"/>
        <w:left w:val="none" w:sz="0" w:space="0" w:color="auto"/>
        <w:bottom w:val="none" w:sz="0" w:space="0" w:color="auto"/>
        <w:right w:val="none" w:sz="0" w:space="0" w:color="auto"/>
      </w:divBdr>
    </w:div>
    <w:div w:id="485558431">
      <w:bodyDiv w:val="1"/>
      <w:marLeft w:val="0"/>
      <w:marRight w:val="0"/>
      <w:marTop w:val="0"/>
      <w:marBottom w:val="0"/>
      <w:divBdr>
        <w:top w:val="none" w:sz="0" w:space="0" w:color="auto"/>
        <w:left w:val="none" w:sz="0" w:space="0" w:color="auto"/>
        <w:bottom w:val="none" w:sz="0" w:space="0" w:color="auto"/>
        <w:right w:val="none" w:sz="0" w:space="0" w:color="auto"/>
      </w:divBdr>
    </w:div>
    <w:div w:id="567115679">
      <w:bodyDiv w:val="1"/>
      <w:marLeft w:val="0"/>
      <w:marRight w:val="0"/>
      <w:marTop w:val="0"/>
      <w:marBottom w:val="0"/>
      <w:divBdr>
        <w:top w:val="none" w:sz="0" w:space="0" w:color="auto"/>
        <w:left w:val="none" w:sz="0" w:space="0" w:color="auto"/>
        <w:bottom w:val="none" w:sz="0" w:space="0" w:color="auto"/>
        <w:right w:val="none" w:sz="0" w:space="0" w:color="auto"/>
      </w:divBdr>
    </w:div>
    <w:div w:id="588581123">
      <w:bodyDiv w:val="1"/>
      <w:marLeft w:val="0"/>
      <w:marRight w:val="0"/>
      <w:marTop w:val="0"/>
      <w:marBottom w:val="0"/>
      <w:divBdr>
        <w:top w:val="none" w:sz="0" w:space="0" w:color="auto"/>
        <w:left w:val="none" w:sz="0" w:space="0" w:color="auto"/>
        <w:bottom w:val="none" w:sz="0" w:space="0" w:color="auto"/>
        <w:right w:val="none" w:sz="0" w:space="0" w:color="auto"/>
      </w:divBdr>
    </w:div>
    <w:div w:id="633411447">
      <w:bodyDiv w:val="1"/>
      <w:marLeft w:val="0"/>
      <w:marRight w:val="0"/>
      <w:marTop w:val="0"/>
      <w:marBottom w:val="0"/>
      <w:divBdr>
        <w:top w:val="none" w:sz="0" w:space="0" w:color="auto"/>
        <w:left w:val="none" w:sz="0" w:space="0" w:color="auto"/>
        <w:bottom w:val="none" w:sz="0" w:space="0" w:color="auto"/>
        <w:right w:val="none" w:sz="0" w:space="0" w:color="auto"/>
      </w:divBdr>
    </w:div>
    <w:div w:id="645552829">
      <w:bodyDiv w:val="1"/>
      <w:marLeft w:val="0"/>
      <w:marRight w:val="0"/>
      <w:marTop w:val="0"/>
      <w:marBottom w:val="0"/>
      <w:divBdr>
        <w:top w:val="none" w:sz="0" w:space="0" w:color="auto"/>
        <w:left w:val="none" w:sz="0" w:space="0" w:color="auto"/>
        <w:bottom w:val="none" w:sz="0" w:space="0" w:color="auto"/>
        <w:right w:val="none" w:sz="0" w:space="0" w:color="auto"/>
      </w:divBdr>
    </w:div>
    <w:div w:id="908809531">
      <w:bodyDiv w:val="1"/>
      <w:marLeft w:val="0"/>
      <w:marRight w:val="0"/>
      <w:marTop w:val="0"/>
      <w:marBottom w:val="0"/>
      <w:divBdr>
        <w:top w:val="none" w:sz="0" w:space="0" w:color="auto"/>
        <w:left w:val="none" w:sz="0" w:space="0" w:color="auto"/>
        <w:bottom w:val="none" w:sz="0" w:space="0" w:color="auto"/>
        <w:right w:val="none" w:sz="0" w:space="0" w:color="auto"/>
      </w:divBdr>
    </w:div>
    <w:div w:id="1028332026">
      <w:bodyDiv w:val="1"/>
      <w:marLeft w:val="0"/>
      <w:marRight w:val="0"/>
      <w:marTop w:val="0"/>
      <w:marBottom w:val="0"/>
      <w:divBdr>
        <w:top w:val="none" w:sz="0" w:space="0" w:color="auto"/>
        <w:left w:val="none" w:sz="0" w:space="0" w:color="auto"/>
        <w:bottom w:val="none" w:sz="0" w:space="0" w:color="auto"/>
        <w:right w:val="none" w:sz="0" w:space="0" w:color="auto"/>
      </w:divBdr>
    </w:div>
    <w:div w:id="1031302722">
      <w:bodyDiv w:val="1"/>
      <w:marLeft w:val="0"/>
      <w:marRight w:val="0"/>
      <w:marTop w:val="0"/>
      <w:marBottom w:val="0"/>
      <w:divBdr>
        <w:top w:val="none" w:sz="0" w:space="0" w:color="auto"/>
        <w:left w:val="none" w:sz="0" w:space="0" w:color="auto"/>
        <w:bottom w:val="none" w:sz="0" w:space="0" w:color="auto"/>
        <w:right w:val="none" w:sz="0" w:space="0" w:color="auto"/>
      </w:divBdr>
    </w:div>
    <w:div w:id="1095788189">
      <w:bodyDiv w:val="1"/>
      <w:marLeft w:val="0"/>
      <w:marRight w:val="0"/>
      <w:marTop w:val="0"/>
      <w:marBottom w:val="0"/>
      <w:divBdr>
        <w:top w:val="none" w:sz="0" w:space="0" w:color="auto"/>
        <w:left w:val="none" w:sz="0" w:space="0" w:color="auto"/>
        <w:bottom w:val="none" w:sz="0" w:space="0" w:color="auto"/>
        <w:right w:val="none" w:sz="0" w:space="0" w:color="auto"/>
      </w:divBdr>
    </w:div>
    <w:div w:id="1204637568">
      <w:bodyDiv w:val="1"/>
      <w:marLeft w:val="0"/>
      <w:marRight w:val="0"/>
      <w:marTop w:val="0"/>
      <w:marBottom w:val="0"/>
      <w:divBdr>
        <w:top w:val="none" w:sz="0" w:space="0" w:color="auto"/>
        <w:left w:val="none" w:sz="0" w:space="0" w:color="auto"/>
        <w:bottom w:val="none" w:sz="0" w:space="0" w:color="auto"/>
        <w:right w:val="none" w:sz="0" w:space="0" w:color="auto"/>
      </w:divBdr>
    </w:div>
    <w:div w:id="1231159481">
      <w:bodyDiv w:val="1"/>
      <w:marLeft w:val="0"/>
      <w:marRight w:val="0"/>
      <w:marTop w:val="0"/>
      <w:marBottom w:val="0"/>
      <w:divBdr>
        <w:top w:val="none" w:sz="0" w:space="0" w:color="auto"/>
        <w:left w:val="none" w:sz="0" w:space="0" w:color="auto"/>
        <w:bottom w:val="none" w:sz="0" w:space="0" w:color="auto"/>
        <w:right w:val="none" w:sz="0" w:space="0" w:color="auto"/>
      </w:divBdr>
    </w:div>
    <w:div w:id="1246308366">
      <w:bodyDiv w:val="1"/>
      <w:marLeft w:val="0"/>
      <w:marRight w:val="0"/>
      <w:marTop w:val="0"/>
      <w:marBottom w:val="0"/>
      <w:divBdr>
        <w:top w:val="none" w:sz="0" w:space="0" w:color="auto"/>
        <w:left w:val="none" w:sz="0" w:space="0" w:color="auto"/>
        <w:bottom w:val="none" w:sz="0" w:space="0" w:color="auto"/>
        <w:right w:val="none" w:sz="0" w:space="0" w:color="auto"/>
      </w:divBdr>
    </w:div>
    <w:div w:id="1278682831">
      <w:bodyDiv w:val="1"/>
      <w:marLeft w:val="0"/>
      <w:marRight w:val="0"/>
      <w:marTop w:val="0"/>
      <w:marBottom w:val="0"/>
      <w:divBdr>
        <w:top w:val="none" w:sz="0" w:space="0" w:color="auto"/>
        <w:left w:val="none" w:sz="0" w:space="0" w:color="auto"/>
        <w:bottom w:val="none" w:sz="0" w:space="0" w:color="auto"/>
        <w:right w:val="none" w:sz="0" w:space="0" w:color="auto"/>
      </w:divBdr>
    </w:div>
    <w:div w:id="1354187937">
      <w:bodyDiv w:val="1"/>
      <w:marLeft w:val="0"/>
      <w:marRight w:val="0"/>
      <w:marTop w:val="0"/>
      <w:marBottom w:val="0"/>
      <w:divBdr>
        <w:top w:val="none" w:sz="0" w:space="0" w:color="auto"/>
        <w:left w:val="none" w:sz="0" w:space="0" w:color="auto"/>
        <w:bottom w:val="none" w:sz="0" w:space="0" w:color="auto"/>
        <w:right w:val="none" w:sz="0" w:space="0" w:color="auto"/>
      </w:divBdr>
    </w:div>
    <w:div w:id="1421684078">
      <w:bodyDiv w:val="1"/>
      <w:marLeft w:val="0"/>
      <w:marRight w:val="0"/>
      <w:marTop w:val="0"/>
      <w:marBottom w:val="0"/>
      <w:divBdr>
        <w:top w:val="none" w:sz="0" w:space="0" w:color="auto"/>
        <w:left w:val="none" w:sz="0" w:space="0" w:color="auto"/>
        <w:bottom w:val="none" w:sz="0" w:space="0" w:color="auto"/>
        <w:right w:val="none" w:sz="0" w:space="0" w:color="auto"/>
      </w:divBdr>
    </w:div>
    <w:div w:id="1458452529">
      <w:bodyDiv w:val="1"/>
      <w:marLeft w:val="0"/>
      <w:marRight w:val="0"/>
      <w:marTop w:val="0"/>
      <w:marBottom w:val="0"/>
      <w:divBdr>
        <w:top w:val="none" w:sz="0" w:space="0" w:color="auto"/>
        <w:left w:val="none" w:sz="0" w:space="0" w:color="auto"/>
        <w:bottom w:val="none" w:sz="0" w:space="0" w:color="auto"/>
        <w:right w:val="none" w:sz="0" w:space="0" w:color="auto"/>
      </w:divBdr>
    </w:div>
    <w:div w:id="1463771996">
      <w:bodyDiv w:val="1"/>
      <w:marLeft w:val="0"/>
      <w:marRight w:val="0"/>
      <w:marTop w:val="0"/>
      <w:marBottom w:val="0"/>
      <w:divBdr>
        <w:top w:val="none" w:sz="0" w:space="0" w:color="auto"/>
        <w:left w:val="none" w:sz="0" w:space="0" w:color="auto"/>
        <w:bottom w:val="none" w:sz="0" w:space="0" w:color="auto"/>
        <w:right w:val="none" w:sz="0" w:space="0" w:color="auto"/>
      </w:divBdr>
    </w:div>
    <w:div w:id="1513759106">
      <w:bodyDiv w:val="1"/>
      <w:marLeft w:val="0"/>
      <w:marRight w:val="0"/>
      <w:marTop w:val="0"/>
      <w:marBottom w:val="0"/>
      <w:divBdr>
        <w:top w:val="none" w:sz="0" w:space="0" w:color="auto"/>
        <w:left w:val="none" w:sz="0" w:space="0" w:color="auto"/>
        <w:bottom w:val="none" w:sz="0" w:space="0" w:color="auto"/>
        <w:right w:val="none" w:sz="0" w:space="0" w:color="auto"/>
      </w:divBdr>
    </w:div>
    <w:div w:id="1555769621">
      <w:bodyDiv w:val="1"/>
      <w:marLeft w:val="0"/>
      <w:marRight w:val="0"/>
      <w:marTop w:val="0"/>
      <w:marBottom w:val="0"/>
      <w:divBdr>
        <w:top w:val="none" w:sz="0" w:space="0" w:color="auto"/>
        <w:left w:val="none" w:sz="0" w:space="0" w:color="auto"/>
        <w:bottom w:val="none" w:sz="0" w:space="0" w:color="auto"/>
        <w:right w:val="none" w:sz="0" w:space="0" w:color="auto"/>
      </w:divBdr>
      <w:divsChild>
        <w:div w:id="1446120652">
          <w:marLeft w:val="0"/>
          <w:marRight w:val="0"/>
          <w:marTop w:val="0"/>
          <w:marBottom w:val="0"/>
          <w:divBdr>
            <w:top w:val="none" w:sz="0" w:space="0" w:color="auto"/>
            <w:left w:val="none" w:sz="0" w:space="0" w:color="auto"/>
            <w:bottom w:val="none" w:sz="0" w:space="0" w:color="auto"/>
            <w:right w:val="none" w:sz="0" w:space="0" w:color="auto"/>
          </w:divBdr>
          <w:divsChild>
            <w:div w:id="1587958201">
              <w:marLeft w:val="0"/>
              <w:marRight w:val="0"/>
              <w:marTop w:val="0"/>
              <w:marBottom w:val="0"/>
              <w:divBdr>
                <w:top w:val="none" w:sz="0" w:space="0" w:color="auto"/>
                <w:left w:val="none" w:sz="0" w:space="0" w:color="auto"/>
                <w:bottom w:val="none" w:sz="0" w:space="0" w:color="auto"/>
                <w:right w:val="none" w:sz="0" w:space="0" w:color="auto"/>
              </w:divBdr>
            </w:div>
          </w:divsChild>
        </w:div>
        <w:div w:id="1974366932">
          <w:marLeft w:val="0"/>
          <w:marRight w:val="0"/>
          <w:marTop w:val="0"/>
          <w:marBottom w:val="0"/>
          <w:divBdr>
            <w:top w:val="none" w:sz="0" w:space="0" w:color="auto"/>
            <w:left w:val="none" w:sz="0" w:space="0" w:color="auto"/>
            <w:bottom w:val="none" w:sz="0" w:space="0" w:color="auto"/>
            <w:right w:val="none" w:sz="0" w:space="0" w:color="auto"/>
          </w:divBdr>
        </w:div>
      </w:divsChild>
    </w:div>
    <w:div w:id="1698308432">
      <w:bodyDiv w:val="1"/>
      <w:marLeft w:val="0"/>
      <w:marRight w:val="0"/>
      <w:marTop w:val="0"/>
      <w:marBottom w:val="0"/>
      <w:divBdr>
        <w:top w:val="none" w:sz="0" w:space="0" w:color="auto"/>
        <w:left w:val="none" w:sz="0" w:space="0" w:color="auto"/>
        <w:bottom w:val="none" w:sz="0" w:space="0" w:color="auto"/>
        <w:right w:val="none" w:sz="0" w:space="0" w:color="auto"/>
      </w:divBdr>
    </w:div>
    <w:div w:id="1723600033">
      <w:bodyDiv w:val="1"/>
      <w:marLeft w:val="0"/>
      <w:marRight w:val="0"/>
      <w:marTop w:val="0"/>
      <w:marBottom w:val="0"/>
      <w:divBdr>
        <w:top w:val="none" w:sz="0" w:space="0" w:color="auto"/>
        <w:left w:val="none" w:sz="0" w:space="0" w:color="auto"/>
        <w:bottom w:val="none" w:sz="0" w:space="0" w:color="auto"/>
        <w:right w:val="none" w:sz="0" w:space="0" w:color="auto"/>
      </w:divBdr>
    </w:div>
    <w:div w:id="1750691561">
      <w:bodyDiv w:val="1"/>
      <w:marLeft w:val="0"/>
      <w:marRight w:val="0"/>
      <w:marTop w:val="0"/>
      <w:marBottom w:val="0"/>
      <w:divBdr>
        <w:top w:val="none" w:sz="0" w:space="0" w:color="auto"/>
        <w:left w:val="none" w:sz="0" w:space="0" w:color="auto"/>
        <w:bottom w:val="none" w:sz="0" w:space="0" w:color="auto"/>
        <w:right w:val="none" w:sz="0" w:space="0" w:color="auto"/>
      </w:divBdr>
    </w:div>
    <w:div w:id="1803844013">
      <w:bodyDiv w:val="1"/>
      <w:marLeft w:val="0"/>
      <w:marRight w:val="0"/>
      <w:marTop w:val="0"/>
      <w:marBottom w:val="0"/>
      <w:divBdr>
        <w:top w:val="none" w:sz="0" w:space="0" w:color="auto"/>
        <w:left w:val="none" w:sz="0" w:space="0" w:color="auto"/>
        <w:bottom w:val="none" w:sz="0" w:space="0" w:color="auto"/>
        <w:right w:val="none" w:sz="0" w:space="0" w:color="auto"/>
      </w:divBdr>
    </w:div>
    <w:div w:id="1831436243">
      <w:bodyDiv w:val="1"/>
      <w:marLeft w:val="0"/>
      <w:marRight w:val="0"/>
      <w:marTop w:val="0"/>
      <w:marBottom w:val="0"/>
      <w:divBdr>
        <w:top w:val="none" w:sz="0" w:space="0" w:color="auto"/>
        <w:left w:val="none" w:sz="0" w:space="0" w:color="auto"/>
        <w:bottom w:val="none" w:sz="0" w:space="0" w:color="auto"/>
        <w:right w:val="none" w:sz="0" w:space="0" w:color="auto"/>
      </w:divBdr>
    </w:div>
    <w:div w:id="1907179043">
      <w:bodyDiv w:val="1"/>
      <w:marLeft w:val="0"/>
      <w:marRight w:val="0"/>
      <w:marTop w:val="0"/>
      <w:marBottom w:val="0"/>
      <w:divBdr>
        <w:top w:val="none" w:sz="0" w:space="0" w:color="auto"/>
        <w:left w:val="none" w:sz="0" w:space="0" w:color="auto"/>
        <w:bottom w:val="none" w:sz="0" w:space="0" w:color="auto"/>
        <w:right w:val="none" w:sz="0" w:space="0" w:color="auto"/>
      </w:divBdr>
    </w:div>
    <w:div w:id="2083141747">
      <w:bodyDiv w:val="1"/>
      <w:marLeft w:val="0"/>
      <w:marRight w:val="0"/>
      <w:marTop w:val="0"/>
      <w:marBottom w:val="0"/>
      <w:divBdr>
        <w:top w:val="none" w:sz="0" w:space="0" w:color="auto"/>
        <w:left w:val="none" w:sz="0" w:space="0" w:color="auto"/>
        <w:bottom w:val="none" w:sz="0" w:space="0" w:color="auto"/>
        <w:right w:val="none" w:sz="0" w:space="0" w:color="auto"/>
      </w:divBdr>
    </w:div>
    <w:div w:id="211867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deref.de/r/?to=https://www.landesrecht-bw.de/bsbw/document/NJRE001652327/format/xsl/part/L/anchor/resultlistentry4%3Foi%3DkadqcKmgfe%26sourceP%3D%257B%2522position%2522%253A3%252C%2522sort%2522%253A%2522juris%2522%252C%2522source%2522%253A%2522TL%2522%257D&amp;tt1=HQNHN8bTgaR0jsVfrD3WrKzUC2sxPJIRYlwiIIyU5EN6m79q-gvAah_o4YJg15mSABt3vVjPzDUepu_amVkZAA3zcTmyq3xVdmSSsQ2cqMh" TargetMode="External"/><Relationship Id="rId13" Type="http://schemas.openxmlformats.org/officeDocument/2006/relationships/hyperlink" Target="https://www.ui-deref.de/r/?to=https://nrwe.justiz.nrw.de/arbgs/hamm/lag_hamm/j2026/18_SLa_24_26_Urteil_20260806.html&amp;tt1=vynv0jrgYEmY1vb22yR9WUjKpn3OktcGIFuEK9y4mXPAnL9qQA3AavirxixDnoEjOHJuygoXfB8wJy_amVkZADFB-lw-yE9xbJ_EpsnLzSd" TargetMode="External"/><Relationship Id="rId18" Type="http://schemas.openxmlformats.org/officeDocument/2006/relationships/hyperlink" Target="https://www.bundesarbeitsgericht.de/wp-content/uploads/2026/09/3-AZR-140-25.pdf" TargetMode="External"/><Relationship Id="rId26" Type="http://schemas.openxmlformats.org/officeDocument/2006/relationships/hyperlink" Target="http://www.vdaa.de" TargetMode="External"/><Relationship Id="rId3" Type="http://schemas.openxmlformats.org/officeDocument/2006/relationships/settings" Target="settings.xml"/><Relationship Id="rId21" Type="http://schemas.openxmlformats.org/officeDocument/2006/relationships/hyperlink" Target="https://www.bundesarbeitsgericht.de/wp-content/uploads/2026/08/10-AZR-88-25.pdf" TargetMode="External"/><Relationship Id="rId7" Type="http://schemas.openxmlformats.org/officeDocument/2006/relationships/image" Target="media/image1.png"/><Relationship Id="rId12" Type="http://schemas.openxmlformats.org/officeDocument/2006/relationships/hyperlink" Target="https://www.ui-deref.de/r/?to=https://nrwe.justiz.nrw.de/arbgs/hamm/lag_hamm/j2026/9_Ta_209_26_Beschluss_20260917.html&amp;tt1=10NtFrQ3gIbukw5zvkGae_Dq6UUBJpqxls8sMB9Fy5ubnL9qGw3Aas-AoL9D26AK0tB_dXJP-4wm5y_amVkZACo--JFqkO3yI4g-wRrAsiW" TargetMode="External"/><Relationship Id="rId17" Type="http://schemas.openxmlformats.org/officeDocument/2006/relationships/hyperlink" Target="https://www.bundesarbeitsgericht.de/wp-content/uploads/2026/09/1-ABR-10-25.pdf" TargetMode="External"/><Relationship Id="rId25" Type="http://schemas.openxmlformats.org/officeDocument/2006/relationships/hyperlink" Target="mailto:info@vdaa.de" TargetMode="External"/><Relationship Id="rId2" Type="http://schemas.openxmlformats.org/officeDocument/2006/relationships/styles" Target="styles.xml"/><Relationship Id="rId16" Type="http://schemas.openxmlformats.org/officeDocument/2006/relationships/hyperlink" Target="https://www.bundesarbeitsgericht.de/wp-content/uploads/2026/09/2-AZR-130-25.pdf" TargetMode="External"/><Relationship Id="rId20" Type="http://schemas.openxmlformats.org/officeDocument/2006/relationships/hyperlink" Target="https://www.bundesarbeitsgericht.de/wp-content/uploads/2026/08/8-AZR-169-25.pd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i-deref.de/r/?to=https://nrwe.justiz.nrw.de/arbgs/koeln/lag_koeln/j2026/9_TaBV_38_26_Beschluss_20260831.html&amp;tt1=2Q9Zn3pzLHuWIhpdgQ31BwXxfOTeeQAVwP2OupaU_HFtnL9q7QzAasxgWukxp2gwrN-R6DnL3XgbZy_amVkZACL66Wx2edOiqVmLgXsdrFV" TargetMode="External"/><Relationship Id="rId24" Type="http://schemas.openxmlformats.org/officeDocument/2006/relationships/hyperlink" Target="https://www.bundesarbeitsgericht.de/wp-content/uploads/2026/08/5-AZR-108-25.pdf" TargetMode="External"/><Relationship Id="rId5" Type="http://schemas.openxmlformats.org/officeDocument/2006/relationships/footnotes" Target="footnotes.xml"/><Relationship Id="rId15" Type="http://schemas.openxmlformats.org/officeDocument/2006/relationships/hyperlink" Target="https://www.bundesarbeitsgericht.de/wp-content/uploads/2026/09/2-AZR-191-25.pdf" TargetMode="External"/><Relationship Id="rId23" Type="http://schemas.openxmlformats.org/officeDocument/2006/relationships/hyperlink" Target="https://www.bundesarbeitsgericht.de/wp-content/uploads/2026/08/7-ABR-32-24.pdf" TargetMode="External"/><Relationship Id="rId28" Type="http://schemas.openxmlformats.org/officeDocument/2006/relationships/footer" Target="footer1.xml"/><Relationship Id="rId10" Type="http://schemas.openxmlformats.org/officeDocument/2006/relationships/hyperlink" Target="https://www.ui-deref.de/r/?to=https://nrwe.justiz.nrw.de/arbgs/hamm/lag_hamm/j2026/1_SLa_159_26_Urteil_20260828.html&amp;tt1=AItN-sl9cyfVk0FNtrhC5Mic5U0HF1S8sFOBAOlLO_NGnL9qxgzAaqKlgUPHiCQj32JGpqxBdVIRpy_amVkZABsTImq7TSh0pmyTsZHw9gY" TargetMode="External"/><Relationship Id="rId19" Type="http://schemas.openxmlformats.org/officeDocument/2006/relationships/hyperlink" Target="https://www.bundesarbeitsgericht.de/wp-content/uploads/2026/08/2-AZR-91-24.pdf" TargetMode="External"/><Relationship Id="rId4" Type="http://schemas.openxmlformats.org/officeDocument/2006/relationships/webSettings" Target="webSettings.xml"/><Relationship Id="rId9" Type="http://schemas.openxmlformats.org/officeDocument/2006/relationships/hyperlink" Target="https://www.ui-deref.de/r/?to=https://www.landesrecht-bw.de/bsbw/document/NJRE001651833/format/xsl/part/L/anchor/resultlistentry3%3Foi%3DkadqcKmgfe%26sourceP%3D%257B%2522position%2522%253A2%252C%2522sort%2522%253A%2522juris%2522%252C%2522source%2522%253A%2522TL%2522%257D&amp;tt1=dKk0iSA4l23RkkkSdvjpnSFFlUBoTA7s1CMWa5IUIsQjnL9qowzAajlEluq-hw7y898s_tfetWQI5y_amVkZABbtPNpkeOzSIsoCAgbISyr" TargetMode="External"/><Relationship Id="rId14" Type="http://schemas.openxmlformats.org/officeDocument/2006/relationships/hyperlink" Target="https://www.bundesarbeitsgericht.de/wp-content/uploads/2026/09/6-AZB-10-26.pdf" TargetMode="External"/><Relationship Id="rId22" Type="http://schemas.openxmlformats.org/officeDocument/2006/relationships/hyperlink" Target="https://www.bundesarbeitsgericht.de/wp-content/uploads/2026/08/9-AZR-193-25.pdf"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2729</Words>
  <Characters>17194</Characters>
  <Application>Microsoft Office Word</Application>
  <DocSecurity>0</DocSecurity>
  <Lines>143</Lines>
  <Paragraphs>39</Paragraphs>
  <ScaleCrop>false</ScaleCrop>
  <HeadingPairs>
    <vt:vector size="2" baseType="variant">
      <vt:variant>
        <vt:lpstr>Titel</vt:lpstr>
      </vt:variant>
      <vt:variant>
        <vt:i4>1</vt:i4>
      </vt:variant>
    </vt:vector>
  </HeadingPairs>
  <TitlesOfParts>
    <vt:vector size="1" baseType="lpstr">
      <vt:lpstr>Unternehmensdepesche</vt:lpstr>
    </vt:vector>
  </TitlesOfParts>
  <Company>Dr. Gaupp &amp; Coll.</Company>
  <LinksUpToDate>false</LinksUpToDate>
  <CharactersWithSpaces>19884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Unternehmensdepesche</cp:keywords>
  <dc:description/>
  <cp:lastModifiedBy>Märkle</cp:lastModifiedBy>
  <cp:revision>4</cp:revision>
  <dcterms:created xsi:type="dcterms:W3CDTF">2026-10-03T14:32:00Z</dcterms:created>
  <dcterms:modified xsi:type="dcterms:W3CDTF">2026-10-03T14:33:00Z</dcterms:modified>
</cp:coreProperties>
</file>